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910C" w14:textId="77777777" w:rsidR="00FE144D" w:rsidRDefault="00FE144D" w:rsidP="00FE144D">
      <w:pPr>
        <w:rPr>
          <w:b/>
          <w:bCs/>
        </w:rPr>
      </w:pPr>
      <w:r>
        <w:rPr>
          <w:b/>
          <w:bCs/>
        </w:rPr>
        <w:t xml:space="preserve">Naziv obveznika: </w:t>
      </w:r>
      <w:r>
        <w:t>Dom za starije osobe Petrinja</w:t>
      </w:r>
      <w:r>
        <w:rPr>
          <w:b/>
          <w:bCs/>
        </w:rPr>
        <w:t xml:space="preserve">                                          </w:t>
      </w:r>
    </w:p>
    <w:p w14:paraId="57CD5C30" w14:textId="77777777" w:rsidR="00FE144D" w:rsidRDefault="00FE144D" w:rsidP="00FE144D">
      <w:pPr>
        <w:rPr>
          <w:b/>
          <w:bCs/>
        </w:rPr>
      </w:pPr>
      <w:r>
        <w:rPr>
          <w:b/>
          <w:bCs/>
        </w:rPr>
        <w:t xml:space="preserve">Broj RKP-a: </w:t>
      </w:r>
      <w:r>
        <w:t>19940</w:t>
      </w:r>
    </w:p>
    <w:p w14:paraId="7C568DAD" w14:textId="77777777" w:rsidR="00FE144D" w:rsidRDefault="00FE144D" w:rsidP="00FE144D">
      <w:pPr>
        <w:rPr>
          <w:b/>
          <w:bCs/>
        </w:rPr>
      </w:pPr>
      <w:r>
        <w:rPr>
          <w:b/>
          <w:bCs/>
        </w:rPr>
        <w:t xml:space="preserve">Sjedište obveznika:  </w:t>
      </w:r>
      <w:r>
        <w:t>Petrinja</w:t>
      </w:r>
      <w:r>
        <w:rPr>
          <w:b/>
          <w:bCs/>
        </w:rPr>
        <w:t xml:space="preserve">                                                 </w:t>
      </w:r>
    </w:p>
    <w:p w14:paraId="1F8629CC" w14:textId="77777777" w:rsidR="00FE144D" w:rsidRDefault="00FE144D" w:rsidP="00FE144D">
      <w:pPr>
        <w:rPr>
          <w:b/>
          <w:bCs/>
        </w:rPr>
      </w:pPr>
      <w:r>
        <w:rPr>
          <w:b/>
          <w:bCs/>
        </w:rPr>
        <w:t xml:space="preserve">Adresa sjedišta obveznika: </w:t>
      </w:r>
      <w:r>
        <w:t>Trg narodnih učitelja 7</w:t>
      </w:r>
    </w:p>
    <w:p w14:paraId="78FE4C00" w14:textId="77777777" w:rsidR="00FE144D" w:rsidRDefault="00FE144D" w:rsidP="00FE144D">
      <w:pPr>
        <w:rPr>
          <w:b/>
          <w:bCs/>
        </w:rPr>
      </w:pPr>
      <w:r>
        <w:rPr>
          <w:b/>
          <w:bCs/>
        </w:rPr>
        <w:t>OIB: 60616560469</w:t>
      </w:r>
    </w:p>
    <w:p w14:paraId="4EB6947C" w14:textId="77777777" w:rsidR="00FE144D" w:rsidRDefault="00FE144D" w:rsidP="00FE144D">
      <w:pPr>
        <w:rPr>
          <w:b/>
          <w:bCs/>
        </w:rPr>
      </w:pPr>
      <w:r>
        <w:rPr>
          <w:b/>
          <w:bCs/>
        </w:rPr>
        <w:t xml:space="preserve">Razina: </w:t>
      </w:r>
      <w:r>
        <w:t>31</w:t>
      </w:r>
      <w:r>
        <w:rPr>
          <w:b/>
          <w:bCs/>
        </w:rPr>
        <w:t xml:space="preserve">                                                                           </w:t>
      </w:r>
    </w:p>
    <w:p w14:paraId="4D6B35E2" w14:textId="77777777" w:rsidR="00FE144D" w:rsidRDefault="00FE144D" w:rsidP="00FE144D">
      <w:r>
        <w:rPr>
          <w:b/>
          <w:bCs/>
        </w:rPr>
        <w:t xml:space="preserve">Šifra županije: </w:t>
      </w:r>
      <w:r>
        <w:t>03 – Sisačko-moslavačka županija</w:t>
      </w:r>
    </w:p>
    <w:p w14:paraId="24FEFAF7" w14:textId="77777777" w:rsidR="00FE144D" w:rsidRDefault="00FE144D" w:rsidP="00FE144D">
      <w:pPr>
        <w:rPr>
          <w:b/>
          <w:bCs/>
        </w:rPr>
      </w:pPr>
    </w:p>
    <w:p w14:paraId="64EEA3BB" w14:textId="77777777" w:rsidR="00FE144D" w:rsidRDefault="00FE144D" w:rsidP="00FE144D">
      <w:pPr>
        <w:rPr>
          <w:b/>
          <w:bCs/>
        </w:rPr>
      </w:pPr>
    </w:p>
    <w:p w14:paraId="320C1A25" w14:textId="77777777" w:rsidR="00FE144D" w:rsidRDefault="00FE144D" w:rsidP="00FE144D">
      <w:pPr>
        <w:jc w:val="center"/>
        <w:rPr>
          <w:b/>
          <w:bCs/>
        </w:rPr>
      </w:pPr>
      <w:r>
        <w:rPr>
          <w:b/>
          <w:bCs/>
        </w:rPr>
        <w:t>BILJEŠKE</w:t>
      </w:r>
    </w:p>
    <w:p w14:paraId="1553D5C9" w14:textId="77777777" w:rsidR="00FE144D" w:rsidRDefault="00FE144D" w:rsidP="00FE144D">
      <w:pPr>
        <w:jc w:val="center"/>
        <w:rPr>
          <w:b/>
          <w:bCs/>
        </w:rPr>
      </w:pPr>
      <w:r>
        <w:rPr>
          <w:b/>
          <w:bCs/>
        </w:rPr>
        <w:t xml:space="preserve">uz Financijski izvještaj za razdoblje </w:t>
      </w:r>
    </w:p>
    <w:p w14:paraId="4C3D396A" w14:textId="7E3E2DEC" w:rsidR="00FE144D" w:rsidRDefault="00FE144D" w:rsidP="00FE144D">
      <w:pPr>
        <w:jc w:val="center"/>
        <w:rPr>
          <w:b/>
          <w:bCs/>
        </w:rPr>
      </w:pPr>
      <w:r>
        <w:rPr>
          <w:b/>
          <w:bCs/>
        </w:rPr>
        <w:t>od 1. siječnja do 31. ožujka 2025. godine</w:t>
      </w:r>
    </w:p>
    <w:p w14:paraId="63D07697" w14:textId="77777777" w:rsidR="00FE144D" w:rsidRDefault="00FE144D" w:rsidP="00FE144D">
      <w:pPr>
        <w:rPr>
          <w:b/>
          <w:bCs/>
        </w:rPr>
      </w:pPr>
    </w:p>
    <w:p w14:paraId="4F626BF3" w14:textId="77777777" w:rsidR="00FE144D" w:rsidRPr="00320A23" w:rsidRDefault="00FE144D" w:rsidP="00FE144D">
      <w:pPr>
        <w:rPr>
          <w:b/>
          <w:bCs/>
          <w:sz w:val="4"/>
          <w:szCs w:val="4"/>
        </w:rPr>
      </w:pPr>
    </w:p>
    <w:p w14:paraId="0DD4351A" w14:textId="77777777" w:rsidR="00FE144D" w:rsidRDefault="00FE144D" w:rsidP="00FE144D">
      <w:pPr>
        <w:rPr>
          <w:b/>
          <w:bCs/>
          <w:i/>
          <w:iCs/>
        </w:rPr>
      </w:pPr>
      <w:r>
        <w:rPr>
          <w:b/>
          <w:bCs/>
          <w:i/>
          <w:iCs/>
        </w:rPr>
        <w:t>Uvodni dio</w:t>
      </w:r>
    </w:p>
    <w:p w14:paraId="2105E889" w14:textId="77777777" w:rsidR="00FE144D" w:rsidRDefault="00FE144D" w:rsidP="00FE144D">
      <w:pPr>
        <w:rPr>
          <w:b/>
          <w:bCs/>
          <w:sz w:val="10"/>
          <w:szCs w:val="10"/>
        </w:rPr>
      </w:pPr>
    </w:p>
    <w:p w14:paraId="48068BDA" w14:textId="361B0DC8" w:rsidR="00FE144D" w:rsidRDefault="00FE144D" w:rsidP="00FE144D">
      <w:pPr>
        <w:jc w:val="both"/>
      </w:pPr>
      <w:r>
        <w:t>Dom za starije osobe Petrinja vodi proračunsko računovodstvo temeljem Pravilnika o proračunskom računovodstvu i Računskom planu, a financijske izvještaje sastavlja i predaje u skladu s odredbama pravilnika o financijskom izvještavanju u proračunskom.</w:t>
      </w:r>
    </w:p>
    <w:p w14:paraId="3E2FF4C0" w14:textId="77777777" w:rsidR="00FE144D" w:rsidRDefault="00FE144D" w:rsidP="00FE144D">
      <w:pPr>
        <w:jc w:val="both"/>
      </w:pPr>
      <w:r>
        <w:t>Za predaju i sastavljanje godišnjih financijskih izvještaja korišteni su elektronski obrasci koji su preuzeti s platforme RKPFI.</w:t>
      </w:r>
    </w:p>
    <w:p w14:paraId="50CD3953" w14:textId="77777777" w:rsidR="00FE144D" w:rsidRPr="00320A23" w:rsidRDefault="00FE144D" w:rsidP="00FE144D">
      <w:pPr>
        <w:jc w:val="both"/>
        <w:rPr>
          <w:sz w:val="10"/>
          <w:szCs w:val="10"/>
        </w:rPr>
      </w:pPr>
    </w:p>
    <w:p w14:paraId="6C1CFB3E" w14:textId="77777777" w:rsidR="00FE144D" w:rsidRDefault="00FE144D" w:rsidP="00FE144D">
      <w:pPr>
        <w:rPr>
          <w:b/>
          <w:bCs/>
          <w:i/>
          <w:iCs/>
        </w:rPr>
      </w:pPr>
      <w:r>
        <w:rPr>
          <w:b/>
          <w:bCs/>
          <w:i/>
          <w:iCs/>
        </w:rPr>
        <w:t>Bilješke uz Izvještaj o prihodima i rashodima, primicima i izdacima</w:t>
      </w:r>
    </w:p>
    <w:p w14:paraId="2EDF6E6A" w14:textId="77777777" w:rsidR="00FE144D" w:rsidRDefault="00FE144D" w:rsidP="00FE144D">
      <w:pPr>
        <w:rPr>
          <w:b/>
          <w:bCs/>
          <w:sz w:val="10"/>
          <w:szCs w:val="10"/>
        </w:rPr>
      </w:pPr>
    </w:p>
    <w:p w14:paraId="4C9B99C5" w14:textId="7FDCD040" w:rsidR="00FE144D" w:rsidRDefault="00FE144D" w:rsidP="00FE144D">
      <w:pPr>
        <w:jc w:val="both"/>
      </w:pPr>
      <w:r>
        <w:rPr>
          <w:b/>
        </w:rPr>
        <w:t xml:space="preserve">1. </w:t>
      </w:r>
      <w:r>
        <w:t xml:space="preserve">Šifra 6 – Prihodi poslovanja ima index 196,7 i odnosi se na ukupne prihode Doma za starije osobe Petrinja koji prvom kvartalu 2025. godine iznose 657.419,35 eura što je za 96,7% više u odnosu na prethodnu godinu kada su iznosili 334.221,47 eura. </w:t>
      </w:r>
    </w:p>
    <w:p w14:paraId="0866FC6D" w14:textId="77777777" w:rsidR="00FE144D" w:rsidRDefault="00FE144D" w:rsidP="00FE144D">
      <w:pPr>
        <w:jc w:val="both"/>
      </w:pPr>
    </w:p>
    <w:p w14:paraId="71EE9D9D" w14:textId="772E1D44" w:rsidR="00FE144D" w:rsidRDefault="00FE144D" w:rsidP="00FE144D">
      <w:pPr>
        <w:jc w:val="both"/>
      </w:pPr>
      <w:r>
        <w:rPr>
          <w:b/>
        </w:rPr>
        <w:t xml:space="preserve">2. </w:t>
      </w:r>
      <w:r>
        <w:t xml:space="preserve">Šifra 652 –Prihodi po posebnim propisima ima indeks od 254,00 i odnosi se na prihode Doma  koje Dom ostvaruje sukladno svom poslovanju te iznose ukupno 338.854,52 eura što je 154,00 % više u odnosu na prošlu godinu.  </w:t>
      </w:r>
    </w:p>
    <w:p w14:paraId="6A217CD4" w14:textId="77777777" w:rsidR="00FE144D" w:rsidRDefault="00FE144D" w:rsidP="00FE144D">
      <w:r>
        <w:t xml:space="preserve">Ostali nespomenuti prihodi se odnose na prihode od: </w:t>
      </w:r>
    </w:p>
    <w:p w14:paraId="21BEC754" w14:textId="3CEE2EE1" w:rsidR="00FE144D" w:rsidRDefault="00FE144D" w:rsidP="00FE144D">
      <w:pPr>
        <w:numPr>
          <w:ilvl w:val="0"/>
          <w:numId w:val="1"/>
        </w:numPr>
        <w:ind w:left="426"/>
      </w:pPr>
      <w:r>
        <w:t xml:space="preserve">prihoda od opskrbnina i participacija (smještaj) u ukupnom iznosu od 170.549,08 eura </w:t>
      </w:r>
    </w:p>
    <w:p w14:paraId="2EF1B417" w14:textId="06937359" w:rsidR="00FE144D" w:rsidRDefault="00FE144D" w:rsidP="00FE144D">
      <w:pPr>
        <w:numPr>
          <w:ilvl w:val="0"/>
          <w:numId w:val="1"/>
        </w:numPr>
        <w:ind w:left="426"/>
      </w:pPr>
      <w:r>
        <w:t>prihoda od izvaninstitucionalne djelatnosti (ručak) u ukupnom iznosu od 33.387,90 eura</w:t>
      </w:r>
    </w:p>
    <w:p w14:paraId="09969047" w14:textId="2AC24DC9" w:rsidR="00FE144D" w:rsidRPr="00320A23" w:rsidRDefault="00FE144D" w:rsidP="00FE144D">
      <w:pPr>
        <w:numPr>
          <w:ilvl w:val="0"/>
          <w:numId w:val="1"/>
        </w:numPr>
        <w:ind w:left="426"/>
        <w:rPr>
          <w:sz w:val="22"/>
          <w:szCs w:val="22"/>
        </w:rPr>
      </w:pPr>
      <w:r w:rsidRPr="00320A23">
        <w:rPr>
          <w:sz w:val="22"/>
          <w:szCs w:val="22"/>
        </w:rPr>
        <w:t>prihoda od Ministarstva rada, mirovinskog sustava, obitelji i socijalne politike 26.790,58 eura</w:t>
      </w:r>
    </w:p>
    <w:p w14:paraId="7029B6ED" w14:textId="0E13EC69" w:rsidR="00FE144D" w:rsidRDefault="00FE144D" w:rsidP="00FE144D">
      <w:pPr>
        <w:pStyle w:val="Odlomakpopisa"/>
        <w:numPr>
          <w:ilvl w:val="0"/>
          <w:numId w:val="1"/>
        </w:numPr>
        <w:ind w:left="426"/>
      </w:pPr>
      <w:r>
        <w:t>prihoda Sisačko-moslavačke županije za sufinanciranje smještaj korisnika Doma za starije osobe Petrinja u iznosu od 83.438,85 eura.</w:t>
      </w:r>
    </w:p>
    <w:p w14:paraId="0B5B98B6" w14:textId="77777777" w:rsidR="00FE144D" w:rsidRDefault="00FE144D" w:rsidP="00FE144D">
      <w:pPr>
        <w:pStyle w:val="Odlomakpopisa"/>
        <w:ind w:left="426"/>
      </w:pPr>
    </w:p>
    <w:p w14:paraId="53FE4646" w14:textId="1EDD4CC8" w:rsidR="00FE144D" w:rsidRDefault="00FE144D" w:rsidP="00FE144D">
      <w:pPr>
        <w:jc w:val="both"/>
      </w:pPr>
      <w:r>
        <w:rPr>
          <w:b/>
          <w:bCs/>
        </w:rPr>
        <w:t xml:space="preserve">3. </w:t>
      </w:r>
      <w:r>
        <w:t xml:space="preserve">Šifra 661 – Prihodi od pruženih usluga ima indeks </w:t>
      </w:r>
      <w:r w:rsidR="009368AA">
        <w:t>130,00</w:t>
      </w:r>
      <w:r>
        <w:t xml:space="preserve"> i odnosi se na ukupne prihode koje Dom ostvaruje od pruženih usluga kuhanja i dostave ručka, recikliranja starog papira te ostalih usluga (Dom za odrasle osobe Petrinja, Zaklada Josip Lang). Prihodi šifre 661 ukupno iznose </w:t>
      </w:r>
      <w:r w:rsidR="009368AA">
        <w:t>48.869,28</w:t>
      </w:r>
      <w:r>
        <w:t xml:space="preserve"> eura te su </w:t>
      </w:r>
      <w:r w:rsidR="009368AA">
        <w:t>prvom kvartalu 2025. godine su  po</w:t>
      </w:r>
      <w:r>
        <w:t xml:space="preserve">većani za </w:t>
      </w:r>
      <w:r w:rsidR="009368AA">
        <w:t>30,00</w:t>
      </w:r>
      <w:r>
        <w:t>%.</w:t>
      </w:r>
    </w:p>
    <w:p w14:paraId="5D3725A2" w14:textId="77777777" w:rsidR="00FE144D" w:rsidRDefault="00FE144D" w:rsidP="00FE144D"/>
    <w:p w14:paraId="27ABA0E7" w14:textId="2B64CD6A" w:rsidR="00FE144D" w:rsidRDefault="009368AA" w:rsidP="00FE144D">
      <w:pPr>
        <w:jc w:val="both"/>
      </w:pPr>
      <w:r>
        <w:rPr>
          <w:b/>
          <w:bCs/>
        </w:rPr>
        <w:t>4</w:t>
      </w:r>
      <w:r w:rsidR="00FE144D">
        <w:rPr>
          <w:b/>
          <w:bCs/>
        </w:rPr>
        <w:t xml:space="preserve">. </w:t>
      </w:r>
      <w:r w:rsidR="00FE144D">
        <w:t xml:space="preserve">Šifra 671 – Prihodi iz nadležnog proračuna za financiranje rashoda poslovanja ima indeks </w:t>
      </w:r>
      <w:r>
        <w:t>165,2</w:t>
      </w:r>
      <w:r w:rsidR="00FE144D">
        <w:t xml:space="preserve">  i iznosi ukupno </w:t>
      </w:r>
      <w:r>
        <w:t>269.693,17</w:t>
      </w:r>
      <w:r w:rsidR="00FE144D">
        <w:t xml:space="preserve"> eura što je </w:t>
      </w:r>
      <w:r>
        <w:t>65,20</w:t>
      </w:r>
      <w:r w:rsidR="00FE144D">
        <w:t xml:space="preserve"> % više nego 20</w:t>
      </w:r>
      <w:r>
        <w:t>24</w:t>
      </w:r>
      <w:r w:rsidR="00FE144D">
        <w:t xml:space="preserve">. godine. </w:t>
      </w:r>
    </w:p>
    <w:p w14:paraId="732F3F1B" w14:textId="77777777" w:rsidR="00FE144D" w:rsidRDefault="00FE144D" w:rsidP="00FE144D">
      <w:pPr>
        <w:jc w:val="both"/>
      </w:pPr>
    </w:p>
    <w:p w14:paraId="002F86E6" w14:textId="040A5F0F" w:rsidR="009368AA" w:rsidRDefault="009368AA" w:rsidP="00FE144D">
      <w:pPr>
        <w:jc w:val="both"/>
      </w:pPr>
      <w:r>
        <w:rPr>
          <w:b/>
          <w:bCs/>
        </w:rPr>
        <w:t>5</w:t>
      </w:r>
      <w:r w:rsidR="00FE144D">
        <w:rPr>
          <w:b/>
          <w:bCs/>
        </w:rPr>
        <w:t>.</w:t>
      </w:r>
      <w:r w:rsidR="00FE144D">
        <w:t xml:space="preserve"> Šifra 3- Rashodi poslovanja ima indeks </w:t>
      </w:r>
      <w:r>
        <w:t>207,5</w:t>
      </w:r>
      <w:r w:rsidR="00FE144D">
        <w:t xml:space="preserve"> i odnosi se na ukupne rashode </w:t>
      </w:r>
      <w:r>
        <w:t xml:space="preserve">prvog kvartala </w:t>
      </w:r>
      <w:r w:rsidR="00FE144D">
        <w:t xml:space="preserve">u iznosu od </w:t>
      </w:r>
      <w:r>
        <w:t>806.623,18</w:t>
      </w:r>
      <w:r w:rsidR="00FE144D">
        <w:t xml:space="preserve"> eura što je </w:t>
      </w:r>
      <w:r>
        <w:t>107,50%</w:t>
      </w:r>
      <w:r w:rsidR="00FE144D">
        <w:t xml:space="preserve"> više u odnosu na prethodnu godinu. </w:t>
      </w:r>
    </w:p>
    <w:p w14:paraId="485D71F6" w14:textId="77777777" w:rsidR="00FE144D" w:rsidRDefault="00FE144D" w:rsidP="00FE144D">
      <w:pPr>
        <w:jc w:val="both"/>
      </w:pPr>
    </w:p>
    <w:p w14:paraId="7AC68373" w14:textId="32B17EFF" w:rsidR="009368AA" w:rsidRDefault="00320A23" w:rsidP="00FE144D">
      <w:pPr>
        <w:jc w:val="both"/>
        <w:rPr>
          <w:bCs/>
        </w:rPr>
      </w:pPr>
      <w:bookmarkStart w:id="0" w:name="_Hlk125624293"/>
      <w:r>
        <w:rPr>
          <w:b/>
          <w:bCs/>
        </w:rPr>
        <w:lastRenderedPageBreak/>
        <w:t>6</w:t>
      </w:r>
      <w:r w:rsidR="00FE144D">
        <w:rPr>
          <w:b/>
          <w:bCs/>
        </w:rPr>
        <w:t xml:space="preserve">. </w:t>
      </w:r>
      <w:r w:rsidR="00FE144D">
        <w:rPr>
          <w:bCs/>
        </w:rPr>
        <w:t xml:space="preserve">Šifra 31-Rashodi za zaposlene ima indeks od </w:t>
      </w:r>
      <w:r w:rsidR="009368AA">
        <w:rPr>
          <w:bCs/>
        </w:rPr>
        <w:t>193,3</w:t>
      </w:r>
      <w:r w:rsidR="00FE144D">
        <w:rPr>
          <w:bCs/>
        </w:rPr>
        <w:t xml:space="preserve"> te ukupan iznos rashoda za zaposlene u </w:t>
      </w:r>
      <w:r w:rsidR="009368AA">
        <w:rPr>
          <w:bCs/>
        </w:rPr>
        <w:t xml:space="preserve">prvom kvartalu </w:t>
      </w:r>
      <w:r w:rsidR="00FE144D">
        <w:rPr>
          <w:bCs/>
        </w:rPr>
        <w:t>202</w:t>
      </w:r>
      <w:r w:rsidR="009368AA">
        <w:rPr>
          <w:bCs/>
        </w:rPr>
        <w:t>5</w:t>
      </w:r>
      <w:r w:rsidR="00FE144D">
        <w:rPr>
          <w:bCs/>
        </w:rPr>
        <w:t>. godin</w:t>
      </w:r>
      <w:r w:rsidR="009368AA">
        <w:rPr>
          <w:bCs/>
        </w:rPr>
        <w:t>e</w:t>
      </w:r>
      <w:r w:rsidR="00FE144D">
        <w:rPr>
          <w:bCs/>
        </w:rPr>
        <w:t xml:space="preserve"> iznos</w:t>
      </w:r>
      <w:r w:rsidR="009368AA">
        <w:rPr>
          <w:bCs/>
        </w:rPr>
        <w:t>e</w:t>
      </w:r>
      <w:r w:rsidR="00FE144D">
        <w:rPr>
          <w:bCs/>
        </w:rPr>
        <w:t xml:space="preserve"> </w:t>
      </w:r>
      <w:r w:rsidR="009368AA">
        <w:rPr>
          <w:bCs/>
        </w:rPr>
        <w:t>615.639,68</w:t>
      </w:r>
      <w:r w:rsidR="00FE144D">
        <w:rPr>
          <w:bCs/>
        </w:rPr>
        <w:t xml:space="preserve">5 eura što je </w:t>
      </w:r>
      <w:r w:rsidR="009368AA">
        <w:rPr>
          <w:bCs/>
        </w:rPr>
        <w:t>93,3</w:t>
      </w:r>
      <w:r w:rsidR="00FE144D">
        <w:rPr>
          <w:bCs/>
        </w:rPr>
        <w:t xml:space="preserve">% više od prethodne godine u kojoj su rashodi za zaposlene iznosili </w:t>
      </w:r>
      <w:r w:rsidR="009368AA">
        <w:rPr>
          <w:bCs/>
        </w:rPr>
        <w:t>318.528,32</w:t>
      </w:r>
      <w:r w:rsidR="00FE144D">
        <w:rPr>
          <w:bCs/>
        </w:rPr>
        <w:t xml:space="preserve"> eura. </w:t>
      </w:r>
      <w:r w:rsidR="00012F42">
        <w:rPr>
          <w:bCs/>
        </w:rPr>
        <w:t>N</w:t>
      </w:r>
      <w:r w:rsidR="009368AA">
        <w:rPr>
          <w:bCs/>
        </w:rPr>
        <w:t xml:space="preserve">akon povratka korisnika u Dom u listopadu </w:t>
      </w:r>
      <w:r w:rsidR="00012F42">
        <w:rPr>
          <w:bCs/>
        </w:rPr>
        <w:t xml:space="preserve"> 2024. godine </w:t>
      </w:r>
      <w:r w:rsidR="009368AA">
        <w:rPr>
          <w:bCs/>
        </w:rPr>
        <w:t>te popunjavanja Doma u cijelosti moralo se zaposliti još radnika kako bi Dom  pružio adekvatnu uslugu za sve svoje korisnike</w:t>
      </w:r>
      <w:r w:rsidR="00012F42">
        <w:rPr>
          <w:bCs/>
        </w:rPr>
        <w:t xml:space="preserve">. Novo zapošljavanje se nastavilo i u 2025. godini kada je zaposleno 8 </w:t>
      </w:r>
      <w:r w:rsidR="003E5F88">
        <w:rPr>
          <w:bCs/>
        </w:rPr>
        <w:t xml:space="preserve">novih </w:t>
      </w:r>
      <w:r w:rsidR="00012F42">
        <w:rPr>
          <w:bCs/>
        </w:rPr>
        <w:t xml:space="preserve">djelatnika, </w:t>
      </w:r>
      <w:r w:rsidR="003E5F88">
        <w:rPr>
          <w:bCs/>
        </w:rPr>
        <w:t xml:space="preserve">od mjeseca siječnja uvećan dodatak za noćni rad za 10%, </w:t>
      </w:r>
      <w:r w:rsidR="00012F42">
        <w:rPr>
          <w:bCs/>
        </w:rPr>
        <w:t xml:space="preserve">a </w:t>
      </w:r>
      <w:r w:rsidR="003E5F88">
        <w:rPr>
          <w:bCs/>
        </w:rPr>
        <w:t xml:space="preserve">na plaći za </w:t>
      </w:r>
      <w:r w:rsidR="00012F42">
        <w:rPr>
          <w:bCs/>
        </w:rPr>
        <w:t>veljač</w:t>
      </w:r>
      <w:r w:rsidR="003E5F88">
        <w:rPr>
          <w:bCs/>
        </w:rPr>
        <w:t xml:space="preserve">u </w:t>
      </w:r>
      <w:r w:rsidR="00012F42">
        <w:rPr>
          <w:bCs/>
        </w:rPr>
        <w:t xml:space="preserve">2025. godine </w:t>
      </w:r>
      <w:r w:rsidR="003E5F88">
        <w:rPr>
          <w:bCs/>
        </w:rPr>
        <w:t xml:space="preserve">primijenila se nova osnovica za obračun sukladno zakonskim izmjenama. </w:t>
      </w:r>
    </w:p>
    <w:p w14:paraId="795B3F75" w14:textId="77777777" w:rsidR="00FE144D" w:rsidRDefault="00FE144D" w:rsidP="00FE144D">
      <w:pPr>
        <w:rPr>
          <w:bCs/>
        </w:rPr>
      </w:pPr>
      <w:r>
        <w:rPr>
          <w:bCs/>
        </w:rPr>
        <w:t xml:space="preserve">Rashodi za zaposlene su slijedeći: </w:t>
      </w:r>
    </w:p>
    <w:p w14:paraId="3C9E6EB4" w14:textId="23D216EE" w:rsidR="00FE144D" w:rsidRDefault="00FE144D" w:rsidP="00FE144D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 xml:space="preserve">konta 3111-3112-3113-3114 iznose </w:t>
      </w:r>
      <w:r w:rsidR="005F3048">
        <w:rPr>
          <w:bCs/>
        </w:rPr>
        <w:t>527.994,02</w:t>
      </w:r>
      <w:r>
        <w:rPr>
          <w:bCs/>
        </w:rPr>
        <w:t xml:space="preserve"> eura</w:t>
      </w:r>
    </w:p>
    <w:p w14:paraId="2509CB54" w14:textId="218A7157" w:rsidR="00FE144D" w:rsidRDefault="00FE144D" w:rsidP="00FE144D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 xml:space="preserve">konto 3121-Ostali rashodi za zaposlene </w:t>
      </w:r>
      <w:r w:rsidR="005F3048">
        <w:rPr>
          <w:bCs/>
        </w:rPr>
        <w:t>3.095,83</w:t>
      </w:r>
      <w:r>
        <w:rPr>
          <w:bCs/>
        </w:rPr>
        <w:t xml:space="preserve"> eura</w:t>
      </w:r>
    </w:p>
    <w:p w14:paraId="03CA2A7D" w14:textId="6CCAAF10" w:rsidR="00FE144D" w:rsidRDefault="00FE144D" w:rsidP="00FE144D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 xml:space="preserve">konto 3132-Doprinosi na plaće </w:t>
      </w:r>
      <w:r w:rsidR="005F3048">
        <w:rPr>
          <w:bCs/>
        </w:rPr>
        <w:t>84.549,83</w:t>
      </w:r>
      <w:r>
        <w:rPr>
          <w:bCs/>
        </w:rPr>
        <w:t xml:space="preserve"> eura</w:t>
      </w:r>
    </w:p>
    <w:p w14:paraId="7DCCB022" w14:textId="2C6E98A7" w:rsidR="00FE144D" w:rsidRDefault="00FE144D" w:rsidP="00FE144D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 xml:space="preserve">konto 3212-Naknade za prijevoz na i s posla iznose </w:t>
      </w:r>
      <w:r w:rsidR="005F3048">
        <w:rPr>
          <w:bCs/>
        </w:rPr>
        <w:t>19.293,95</w:t>
      </w:r>
      <w:r>
        <w:rPr>
          <w:bCs/>
        </w:rPr>
        <w:t xml:space="preserve"> eura </w:t>
      </w:r>
    </w:p>
    <w:bookmarkEnd w:id="0"/>
    <w:p w14:paraId="308E076E" w14:textId="77777777" w:rsidR="00FE144D" w:rsidRDefault="00FE144D" w:rsidP="00FE144D">
      <w:pPr>
        <w:rPr>
          <w:bCs/>
        </w:rPr>
      </w:pPr>
    </w:p>
    <w:p w14:paraId="53BFE332" w14:textId="6635089E" w:rsidR="00FE144D" w:rsidRDefault="00320A23" w:rsidP="00FE144D">
      <w:pPr>
        <w:jc w:val="both"/>
        <w:rPr>
          <w:bCs/>
        </w:rPr>
      </w:pPr>
      <w:r>
        <w:rPr>
          <w:b/>
        </w:rPr>
        <w:t>7</w:t>
      </w:r>
      <w:r w:rsidR="00FE144D">
        <w:rPr>
          <w:bCs/>
        </w:rPr>
        <w:t xml:space="preserve">. Šifra 32-Materijalni rashodi ima indeks </w:t>
      </w:r>
      <w:r w:rsidR="005F3048">
        <w:rPr>
          <w:bCs/>
        </w:rPr>
        <w:t xml:space="preserve">271,8 </w:t>
      </w:r>
      <w:r w:rsidR="00FE144D">
        <w:rPr>
          <w:bCs/>
        </w:rPr>
        <w:t xml:space="preserve">te </w:t>
      </w:r>
      <w:r w:rsidR="005F3048">
        <w:rPr>
          <w:bCs/>
        </w:rPr>
        <w:t>u prvom kvartalu 2025</w:t>
      </w:r>
      <w:r w:rsidR="00FE144D">
        <w:rPr>
          <w:bCs/>
        </w:rPr>
        <w:t>. godin</w:t>
      </w:r>
      <w:r w:rsidR="005F3048">
        <w:rPr>
          <w:bCs/>
        </w:rPr>
        <w:t>e</w:t>
      </w:r>
      <w:r w:rsidR="00FE144D">
        <w:rPr>
          <w:bCs/>
        </w:rPr>
        <w:t xml:space="preserve"> iznos</w:t>
      </w:r>
      <w:r w:rsidR="005F3048">
        <w:rPr>
          <w:bCs/>
        </w:rPr>
        <w:t>e</w:t>
      </w:r>
      <w:r w:rsidR="00FE144D">
        <w:rPr>
          <w:bCs/>
        </w:rPr>
        <w:t xml:space="preserve"> </w:t>
      </w:r>
      <w:r w:rsidR="005F3048">
        <w:rPr>
          <w:bCs/>
        </w:rPr>
        <w:t>189.772,28</w:t>
      </w:r>
      <w:r w:rsidR="00FE144D">
        <w:rPr>
          <w:bCs/>
        </w:rPr>
        <w:t xml:space="preserve"> eura što je </w:t>
      </w:r>
      <w:r w:rsidR="005F3048">
        <w:rPr>
          <w:bCs/>
        </w:rPr>
        <w:t xml:space="preserve">171,8% </w:t>
      </w:r>
      <w:r w:rsidR="00FE144D">
        <w:rPr>
          <w:bCs/>
        </w:rPr>
        <w:t xml:space="preserve">% više nego prethodne godine. Povratkom korisnika u obnovljeni Dom povećali su se i materijalni rashodi (rashodi za materijal i sirovine, rashodi za energiju, rashodi za materijale i dijelove za održavanje, rashodi za usluge tekućeg i investicijskog održavanja, ostalo). </w:t>
      </w:r>
    </w:p>
    <w:p w14:paraId="037BE603" w14:textId="77777777" w:rsidR="00FE144D" w:rsidRDefault="00FE144D" w:rsidP="00FE144D">
      <w:pPr>
        <w:rPr>
          <w:bCs/>
        </w:rPr>
      </w:pPr>
    </w:p>
    <w:p w14:paraId="4333A355" w14:textId="441DEFBE" w:rsidR="00FE144D" w:rsidRDefault="00320A23" w:rsidP="00FE144D">
      <w:pPr>
        <w:jc w:val="both"/>
        <w:rPr>
          <w:bCs/>
        </w:rPr>
      </w:pPr>
      <w:r>
        <w:rPr>
          <w:b/>
          <w:bCs/>
        </w:rPr>
        <w:t>8</w:t>
      </w:r>
      <w:r w:rsidR="00FE144D">
        <w:rPr>
          <w:b/>
          <w:bCs/>
        </w:rPr>
        <w:t xml:space="preserve">. </w:t>
      </w:r>
      <w:r w:rsidR="00FE144D">
        <w:rPr>
          <w:bCs/>
        </w:rPr>
        <w:t xml:space="preserve">Šifra 3222 – Materijal i sirovine ima indeks </w:t>
      </w:r>
      <w:r w:rsidR="005F3048">
        <w:rPr>
          <w:bCs/>
        </w:rPr>
        <w:t>403,6</w:t>
      </w:r>
      <w:r w:rsidR="00FE144D">
        <w:rPr>
          <w:bCs/>
        </w:rPr>
        <w:t xml:space="preserve"> te iznosi </w:t>
      </w:r>
      <w:r w:rsidR="005F3048">
        <w:rPr>
          <w:bCs/>
        </w:rPr>
        <w:t>81.167,85</w:t>
      </w:r>
      <w:r w:rsidR="00FE144D">
        <w:rPr>
          <w:bCs/>
        </w:rPr>
        <w:t xml:space="preserve"> eura što je </w:t>
      </w:r>
      <w:r w:rsidR="005F3048">
        <w:rPr>
          <w:bCs/>
        </w:rPr>
        <w:t xml:space="preserve">303,6 </w:t>
      </w:r>
      <w:r w:rsidR="00FE144D">
        <w:rPr>
          <w:bCs/>
        </w:rPr>
        <w:t xml:space="preserve">% više nego </w:t>
      </w:r>
      <w:r w:rsidR="005F3048">
        <w:rPr>
          <w:bCs/>
        </w:rPr>
        <w:t xml:space="preserve">u promatranom razdoblju </w:t>
      </w:r>
      <w:r w:rsidR="00FE144D">
        <w:rPr>
          <w:bCs/>
        </w:rPr>
        <w:t>202</w:t>
      </w:r>
      <w:r w:rsidR="005F3048">
        <w:rPr>
          <w:bCs/>
        </w:rPr>
        <w:t>4</w:t>
      </w:r>
      <w:r w:rsidR="00FE144D">
        <w:rPr>
          <w:bCs/>
        </w:rPr>
        <w:t>. godine, a sve zbog povratka korisnika u Dom, usluga koje Dom pruža pripremanjem obroka (vaninstitucija, Dom za odrasle Petrinja, Zaklada Biskup Josip Lang)</w:t>
      </w:r>
    </w:p>
    <w:p w14:paraId="2F0DCE18" w14:textId="77777777" w:rsidR="00FE144D" w:rsidRDefault="00FE144D" w:rsidP="00FE144D">
      <w:pPr>
        <w:rPr>
          <w:bCs/>
        </w:rPr>
      </w:pPr>
    </w:p>
    <w:p w14:paraId="3FA83CDF" w14:textId="408BE016" w:rsidR="00FE144D" w:rsidRDefault="00320A23" w:rsidP="00FE144D">
      <w:pPr>
        <w:jc w:val="both"/>
        <w:rPr>
          <w:bCs/>
        </w:rPr>
      </w:pPr>
      <w:r>
        <w:rPr>
          <w:b/>
          <w:bCs/>
        </w:rPr>
        <w:t>9</w:t>
      </w:r>
      <w:r w:rsidR="00FE144D">
        <w:rPr>
          <w:b/>
          <w:bCs/>
        </w:rPr>
        <w:t xml:space="preserve">. </w:t>
      </w:r>
      <w:r w:rsidR="00FE144D">
        <w:rPr>
          <w:bCs/>
        </w:rPr>
        <w:t xml:space="preserve">Šifra 3223 – Energija ima indeks </w:t>
      </w:r>
      <w:r w:rsidR="005F3048">
        <w:rPr>
          <w:bCs/>
        </w:rPr>
        <w:t>228,4</w:t>
      </w:r>
      <w:r w:rsidR="00FE144D">
        <w:rPr>
          <w:bCs/>
        </w:rPr>
        <w:t xml:space="preserve"> te iznosi </w:t>
      </w:r>
      <w:r w:rsidR="005F3048">
        <w:rPr>
          <w:bCs/>
        </w:rPr>
        <w:t>45.198,50</w:t>
      </w:r>
      <w:r w:rsidR="00FE144D">
        <w:rPr>
          <w:bCs/>
        </w:rPr>
        <w:t xml:space="preserve"> eura što je </w:t>
      </w:r>
      <w:r w:rsidR="005F3048">
        <w:rPr>
          <w:bCs/>
        </w:rPr>
        <w:t xml:space="preserve">128,4 </w:t>
      </w:r>
      <w:r w:rsidR="00FE144D">
        <w:rPr>
          <w:bCs/>
        </w:rPr>
        <w:t xml:space="preserve">% </w:t>
      </w:r>
      <w:r w:rsidR="005F3048">
        <w:rPr>
          <w:bCs/>
        </w:rPr>
        <w:t>više</w:t>
      </w:r>
      <w:r w:rsidR="00FE144D">
        <w:rPr>
          <w:bCs/>
        </w:rPr>
        <w:t xml:space="preserve"> nego pro</w:t>
      </w:r>
      <w:r w:rsidR="005F3048">
        <w:rPr>
          <w:bCs/>
        </w:rPr>
        <w:t>šle</w:t>
      </w:r>
      <w:r w:rsidR="00FE144D">
        <w:rPr>
          <w:bCs/>
        </w:rPr>
        <w:t xml:space="preserve"> 202</w:t>
      </w:r>
      <w:r w:rsidR="005F3048">
        <w:rPr>
          <w:bCs/>
        </w:rPr>
        <w:t>4</w:t>
      </w:r>
      <w:r w:rsidR="00FE144D">
        <w:rPr>
          <w:bCs/>
        </w:rPr>
        <w:t>. godine, a sve zbog</w:t>
      </w:r>
      <w:r w:rsidR="005F3048">
        <w:rPr>
          <w:bCs/>
        </w:rPr>
        <w:t xml:space="preserve"> povećane potrošnje električne energije povratkom korisnika</w:t>
      </w:r>
      <w:r w:rsidR="00FE144D">
        <w:rPr>
          <w:bCs/>
        </w:rPr>
        <w:t xml:space="preserve">. </w:t>
      </w:r>
    </w:p>
    <w:p w14:paraId="3433FBCC" w14:textId="77777777" w:rsidR="00FE144D" w:rsidRDefault="00FE144D" w:rsidP="00FE144D">
      <w:pPr>
        <w:rPr>
          <w:bCs/>
        </w:rPr>
      </w:pPr>
    </w:p>
    <w:p w14:paraId="494F9135" w14:textId="64822A2B" w:rsidR="00FE144D" w:rsidRDefault="00FE144D" w:rsidP="00FE144D">
      <w:pPr>
        <w:jc w:val="both"/>
        <w:rPr>
          <w:bCs/>
        </w:rPr>
      </w:pPr>
      <w:r>
        <w:rPr>
          <w:b/>
          <w:bCs/>
        </w:rPr>
        <w:t>1</w:t>
      </w:r>
      <w:r w:rsidR="00320A23">
        <w:rPr>
          <w:b/>
          <w:bCs/>
        </w:rPr>
        <w:t>0</w:t>
      </w:r>
      <w:r>
        <w:rPr>
          <w:b/>
          <w:bCs/>
        </w:rPr>
        <w:t xml:space="preserve">. </w:t>
      </w:r>
      <w:r>
        <w:rPr>
          <w:bCs/>
        </w:rPr>
        <w:t xml:space="preserve">Šifra 3234 – Komunalne usluge ima indeks </w:t>
      </w:r>
      <w:r w:rsidR="005F3048">
        <w:rPr>
          <w:bCs/>
        </w:rPr>
        <w:t>112,9</w:t>
      </w:r>
      <w:r>
        <w:rPr>
          <w:bCs/>
        </w:rPr>
        <w:t xml:space="preserve"> te iznosi </w:t>
      </w:r>
      <w:r w:rsidR="005F3048">
        <w:rPr>
          <w:bCs/>
        </w:rPr>
        <w:t>4.216,59</w:t>
      </w:r>
      <w:r>
        <w:rPr>
          <w:bCs/>
        </w:rPr>
        <w:t xml:space="preserve"> eura što je </w:t>
      </w:r>
      <w:r w:rsidR="005F3048">
        <w:rPr>
          <w:bCs/>
        </w:rPr>
        <w:t>12,9%</w:t>
      </w:r>
      <w:r>
        <w:rPr>
          <w:bCs/>
        </w:rPr>
        <w:t xml:space="preserve"> više u odnosu na 202</w:t>
      </w:r>
      <w:r w:rsidR="005F3048">
        <w:rPr>
          <w:bCs/>
        </w:rPr>
        <w:t>4</w:t>
      </w:r>
      <w:r>
        <w:rPr>
          <w:bCs/>
        </w:rPr>
        <w:t>. godinu kada korisnici nisu još bili u matičnom objektu u Petrinji. Povratkom korisnika  povećala se potrošnja vode, odvoza smeća.</w:t>
      </w:r>
    </w:p>
    <w:p w14:paraId="0C827EC4" w14:textId="77777777" w:rsidR="00FE144D" w:rsidRDefault="00FE144D" w:rsidP="00FE144D">
      <w:pPr>
        <w:rPr>
          <w:bCs/>
        </w:rPr>
      </w:pPr>
    </w:p>
    <w:p w14:paraId="43DC361D" w14:textId="4FF95288" w:rsidR="00FE144D" w:rsidRDefault="00FE144D" w:rsidP="00FE144D">
      <w:pPr>
        <w:jc w:val="both"/>
        <w:rPr>
          <w:bCs/>
        </w:rPr>
      </w:pPr>
      <w:r>
        <w:rPr>
          <w:b/>
        </w:rPr>
        <w:t>11</w:t>
      </w:r>
      <w:r>
        <w:rPr>
          <w:bCs/>
        </w:rPr>
        <w:t xml:space="preserve">. Šifra 3239 – Ostale usluge ima indeks </w:t>
      </w:r>
      <w:r w:rsidR="00650AE0">
        <w:rPr>
          <w:bCs/>
        </w:rPr>
        <w:t>318,8</w:t>
      </w:r>
      <w:r>
        <w:rPr>
          <w:bCs/>
        </w:rPr>
        <w:t xml:space="preserve"> te iznosi </w:t>
      </w:r>
      <w:r w:rsidR="00650AE0">
        <w:rPr>
          <w:bCs/>
        </w:rPr>
        <w:t>2.995,76</w:t>
      </w:r>
      <w:r>
        <w:rPr>
          <w:bCs/>
        </w:rPr>
        <w:t xml:space="preserve"> eura što je </w:t>
      </w:r>
      <w:r w:rsidR="00650AE0">
        <w:rPr>
          <w:bCs/>
        </w:rPr>
        <w:t xml:space="preserve">218,8 </w:t>
      </w:r>
      <w:r>
        <w:rPr>
          <w:bCs/>
        </w:rPr>
        <w:t xml:space="preserve">% više u odnosu na prošlu godinu. Navedeno povećanje odnosi se na registracije i tehničkog pregleda vozila Doma, usluge popravka lifta Doma, usluge zaštite na radu, usluga dojave požara te ostale usluge. </w:t>
      </w:r>
    </w:p>
    <w:p w14:paraId="7214E221" w14:textId="77777777" w:rsidR="00FE144D" w:rsidRDefault="00FE144D" w:rsidP="00FE144D">
      <w:pPr>
        <w:jc w:val="both"/>
        <w:rPr>
          <w:bCs/>
        </w:rPr>
      </w:pPr>
    </w:p>
    <w:p w14:paraId="50D642B0" w14:textId="7038C7EB" w:rsidR="00012F42" w:rsidRPr="00320A23" w:rsidRDefault="00FE144D" w:rsidP="00320A23">
      <w:pPr>
        <w:jc w:val="both"/>
        <w:rPr>
          <w:bCs/>
        </w:rPr>
      </w:pPr>
      <w:r>
        <w:rPr>
          <w:b/>
        </w:rPr>
        <w:t>1</w:t>
      </w:r>
      <w:r w:rsidR="00AB0E14">
        <w:rPr>
          <w:b/>
        </w:rPr>
        <w:t>2</w:t>
      </w:r>
      <w:r>
        <w:rPr>
          <w:bCs/>
        </w:rPr>
        <w:t xml:space="preserve">. Šifra 422– Postrojenja i oprema ukupno iznosi </w:t>
      </w:r>
      <w:r w:rsidR="00650AE0">
        <w:rPr>
          <w:bCs/>
        </w:rPr>
        <w:t>25.157,40</w:t>
      </w:r>
      <w:r>
        <w:rPr>
          <w:bCs/>
        </w:rPr>
        <w:t xml:space="preserve"> eura budući da je Dom u 202</w:t>
      </w:r>
      <w:r w:rsidR="00650AE0">
        <w:rPr>
          <w:bCs/>
        </w:rPr>
        <w:t>5</w:t>
      </w:r>
      <w:r>
        <w:rPr>
          <w:bCs/>
        </w:rPr>
        <w:t xml:space="preserve">. godini </w:t>
      </w:r>
      <w:r w:rsidR="00650AE0">
        <w:rPr>
          <w:bCs/>
        </w:rPr>
        <w:t xml:space="preserve">nabavio novi uređaj za sprječavanje nastanka biootpada iz kuhinje.  </w:t>
      </w:r>
      <w:r>
        <w:rPr>
          <w:bCs/>
        </w:rPr>
        <w:t xml:space="preserve">  </w:t>
      </w:r>
    </w:p>
    <w:p w14:paraId="7056D96A" w14:textId="77777777" w:rsidR="00FE144D" w:rsidRDefault="00FE144D" w:rsidP="00FE144D">
      <w:pPr>
        <w:rPr>
          <w:b/>
          <w:bCs/>
          <w:sz w:val="10"/>
          <w:szCs w:val="10"/>
        </w:rPr>
      </w:pPr>
    </w:p>
    <w:p w14:paraId="57B2CCF6" w14:textId="2067C028" w:rsidR="00FE144D" w:rsidRPr="00012F42" w:rsidRDefault="00650AE0" w:rsidP="00012F42">
      <w:pPr>
        <w:jc w:val="both"/>
        <w:rPr>
          <w:bCs/>
        </w:rPr>
      </w:pPr>
      <w:r w:rsidRPr="00650AE0">
        <w:rPr>
          <w:b/>
          <w:bCs/>
        </w:rPr>
        <w:t>1</w:t>
      </w:r>
      <w:r w:rsidR="00AB0E14">
        <w:rPr>
          <w:b/>
          <w:bCs/>
        </w:rPr>
        <w:t>3</w:t>
      </w:r>
      <w:r>
        <w:t xml:space="preserve">. </w:t>
      </w:r>
      <w:r w:rsidR="00FE144D">
        <w:t>Šifra 11</w:t>
      </w:r>
      <w:r>
        <w:t>K</w:t>
      </w:r>
      <w:r w:rsidR="00FE144D" w:rsidRPr="00650AE0">
        <w:rPr>
          <w:bCs/>
        </w:rPr>
        <w:t xml:space="preserve"> – </w:t>
      </w:r>
      <w:r>
        <w:rPr>
          <w:bCs/>
        </w:rPr>
        <w:t>Stanje novčanih sredstava na kraju izvještajnog razdoblja iznosi 162.138,61 euro</w:t>
      </w:r>
      <w:r w:rsidR="00FE144D" w:rsidRPr="00650AE0">
        <w:rPr>
          <w:bCs/>
        </w:rPr>
        <w:t xml:space="preserve"> </w:t>
      </w:r>
      <w:r>
        <w:rPr>
          <w:bCs/>
        </w:rPr>
        <w:t xml:space="preserve">te </w:t>
      </w:r>
      <w:r w:rsidR="00FE144D" w:rsidRPr="00650AE0">
        <w:rPr>
          <w:bCs/>
        </w:rPr>
        <w:t>odgovara stanju računa Doma na dan 31.</w:t>
      </w:r>
      <w:r>
        <w:rPr>
          <w:bCs/>
        </w:rPr>
        <w:t>03</w:t>
      </w:r>
      <w:r w:rsidR="00FE144D" w:rsidRPr="00650AE0">
        <w:rPr>
          <w:bCs/>
        </w:rPr>
        <w:t>.202</w:t>
      </w:r>
      <w:r>
        <w:rPr>
          <w:bCs/>
        </w:rPr>
        <w:t>5</w:t>
      </w:r>
      <w:r w:rsidR="00FE144D" w:rsidRPr="00650AE0">
        <w:rPr>
          <w:bCs/>
        </w:rPr>
        <w:t>. godine.</w:t>
      </w:r>
    </w:p>
    <w:p w14:paraId="2B5A7D2C" w14:textId="77777777" w:rsidR="00320A23" w:rsidRDefault="00320A23" w:rsidP="00FE144D"/>
    <w:p w14:paraId="5287A9C7" w14:textId="77777777" w:rsidR="00670725" w:rsidRDefault="00670725"/>
    <w:p w14:paraId="2141DDBA" w14:textId="39892750" w:rsidR="003A497D" w:rsidRDefault="00FE144D">
      <w:r>
        <w:t xml:space="preserve">U Petrinji, </w:t>
      </w:r>
      <w:r w:rsidR="00650AE0">
        <w:t xml:space="preserve">10. veljača </w:t>
      </w:r>
      <w:r>
        <w:t>2025. godine</w:t>
      </w:r>
      <w:r w:rsidR="00320A23">
        <w:t>.</w:t>
      </w:r>
      <w:r>
        <w:t xml:space="preserve">                                   </w:t>
      </w:r>
    </w:p>
    <w:sectPr w:rsidR="003A49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6A62"/>
    <w:multiLevelType w:val="hybridMultilevel"/>
    <w:tmpl w:val="3FCCCA4C"/>
    <w:lvl w:ilvl="0" w:tplc="3E8E504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335B1"/>
    <w:multiLevelType w:val="hybridMultilevel"/>
    <w:tmpl w:val="33D60D6C"/>
    <w:lvl w:ilvl="0" w:tplc="6E74CE8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D17"/>
    <w:multiLevelType w:val="hybridMultilevel"/>
    <w:tmpl w:val="61C4060A"/>
    <w:lvl w:ilvl="0" w:tplc="82A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1F51"/>
    <w:multiLevelType w:val="hybridMultilevel"/>
    <w:tmpl w:val="4C889426"/>
    <w:lvl w:ilvl="0" w:tplc="82A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7D5E"/>
    <w:multiLevelType w:val="hybridMultilevel"/>
    <w:tmpl w:val="531E1BBE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0536"/>
    <w:multiLevelType w:val="hybridMultilevel"/>
    <w:tmpl w:val="0CE29752"/>
    <w:lvl w:ilvl="0" w:tplc="82A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77027">
    <w:abstractNumId w:val="2"/>
  </w:num>
  <w:num w:numId="2" w16cid:durableId="951786399">
    <w:abstractNumId w:val="3"/>
  </w:num>
  <w:num w:numId="3" w16cid:durableId="1207451916">
    <w:abstractNumId w:val="5"/>
  </w:num>
  <w:num w:numId="4" w16cid:durableId="1471021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102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489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4D"/>
    <w:rsid w:val="00012F42"/>
    <w:rsid w:val="00320A23"/>
    <w:rsid w:val="003A497D"/>
    <w:rsid w:val="003E5F88"/>
    <w:rsid w:val="005F3048"/>
    <w:rsid w:val="00650AE0"/>
    <w:rsid w:val="00670725"/>
    <w:rsid w:val="00874F87"/>
    <w:rsid w:val="0093386B"/>
    <w:rsid w:val="009368AA"/>
    <w:rsid w:val="00AB0E14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BB1D"/>
  <w15:chartTrackingRefBased/>
  <w15:docId w15:val="{DF31D87D-F5E5-4BE0-BB86-68D38F0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E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E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1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FE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1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14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14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E14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E14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E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E1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semiHidden/>
    <w:rsid w:val="00FE144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144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144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144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E144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E144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E14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E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E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E144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E144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E144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E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E144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E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Begić</dc:creator>
  <cp:keywords/>
  <dc:description/>
  <cp:lastModifiedBy>Maja Begić</cp:lastModifiedBy>
  <cp:revision>4</cp:revision>
  <dcterms:created xsi:type="dcterms:W3CDTF">2025-04-10T12:07:00Z</dcterms:created>
  <dcterms:modified xsi:type="dcterms:W3CDTF">2025-04-10T13:17:00Z</dcterms:modified>
</cp:coreProperties>
</file>