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7C3506" w14:paraId="6F969C4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0589C1C" w14:textId="77777777" w:rsidR="007C3506" w:rsidRDefault="00000000" w:rsidP="00D22620">
            <w:pPr>
              <w:spacing w:after="0" w:line="240" w:lineRule="auto"/>
              <w:jc w:val="both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269CAD1" w14:textId="77777777" w:rsidR="007C3506" w:rsidRDefault="00000000" w:rsidP="00D22620">
            <w:pPr>
              <w:spacing w:after="0" w:line="240" w:lineRule="auto"/>
              <w:jc w:val="both"/>
            </w:pPr>
            <w:r>
              <w:t>19940</w:t>
            </w:r>
          </w:p>
        </w:tc>
      </w:tr>
      <w:tr w:rsidR="007C3506" w14:paraId="2B3FE7D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FF710C8" w14:textId="77777777" w:rsidR="007C3506" w:rsidRDefault="00000000" w:rsidP="00D22620">
            <w:pPr>
              <w:spacing w:after="0" w:line="240" w:lineRule="auto"/>
              <w:jc w:val="both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44BCE8E" w14:textId="77777777" w:rsidR="007C3506" w:rsidRDefault="00000000" w:rsidP="00D22620">
            <w:pPr>
              <w:spacing w:after="0" w:line="240" w:lineRule="auto"/>
              <w:jc w:val="both"/>
            </w:pPr>
            <w:r>
              <w:t>DOM ZA STARIJE OSOBE PETRINJA</w:t>
            </w:r>
          </w:p>
        </w:tc>
      </w:tr>
      <w:tr w:rsidR="007C3506" w14:paraId="04900E8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DADFD2B" w14:textId="77777777" w:rsidR="007C3506" w:rsidRDefault="00000000" w:rsidP="00D22620">
            <w:pPr>
              <w:spacing w:after="0" w:line="240" w:lineRule="auto"/>
              <w:jc w:val="both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26D64133" w14:textId="77777777" w:rsidR="007C3506" w:rsidRDefault="00000000" w:rsidP="00D22620">
            <w:pPr>
              <w:spacing w:after="0" w:line="240" w:lineRule="auto"/>
              <w:jc w:val="both"/>
            </w:pPr>
            <w:r>
              <w:t>31</w:t>
            </w:r>
          </w:p>
        </w:tc>
      </w:tr>
    </w:tbl>
    <w:p w14:paraId="258B2CF0" w14:textId="0B6E2CC2" w:rsidR="007C3506" w:rsidRDefault="007C3506" w:rsidP="00D22620">
      <w:pPr>
        <w:jc w:val="center"/>
      </w:pPr>
    </w:p>
    <w:p w14:paraId="6747B45F" w14:textId="77777777" w:rsidR="007C3506" w:rsidRDefault="00000000" w:rsidP="00D2262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4DFA1C3" w14:textId="77777777" w:rsidR="007C3506" w:rsidRDefault="00000000" w:rsidP="00D2262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673A208" w14:textId="1CB7C1A8" w:rsidR="007C3506" w:rsidRDefault="00000000" w:rsidP="00D2262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1D1BBA04" w14:textId="77777777" w:rsidR="007C3506" w:rsidRDefault="00000000" w:rsidP="00D2262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4BBBEC44" w14:textId="77777777" w:rsidR="007C3506" w:rsidRDefault="00000000" w:rsidP="00D22620">
      <w:pPr>
        <w:keepNext/>
        <w:spacing w:line="240" w:lineRule="auto"/>
        <w:jc w:val="both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C3506" w14:paraId="500B25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63CB1E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73EC48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3C4A57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FCD0AF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DEA4B0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60C8FB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Indeks (%)</w:t>
            </w:r>
          </w:p>
        </w:tc>
      </w:tr>
      <w:tr w:rsidR="007C3506" w14:paraId="2BF3BFC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A0901E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C5AB82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51878D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C9E03A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1.980.138,43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ABC6CC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2.723.341,25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F653A5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137,5</w:t>
            </w:r>
          </w:p>
        </w:tc>
      </w:tr>
      <w:tr w:rsidR="007C3506" w14:paraId="3CAC79A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11F3AA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BD9294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AD1F17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8EA1B4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2.021.643,59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DE42E5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2.913.588,61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B91021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144,1</w:t>
            </w:r>
          </w:p>
        </w:tc>
      </w:tr>
      <w:tr w:rsidR="007C3506" w14:paraId="42435CD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C420A9" w14:textId="77777777" w:rsidR="007C3506" w:rsidRDefault="007C3506" w:rsidP="00D22620">
            <w:pPr>
              <w:keepNext/>
              <w:keepLines/>
              <w:spacing w:after="0" w:line="240" w:lineRule="auto"/>
              <w:jc w:val="both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25CC2F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170A47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F23284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41.505,16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88BAF0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190.247,36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783983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458,4</w:t>
            </w:r>
          </w:p>
        </w:tc>
      </w:tr>
      <w:tr w:rsidR="007C3506" w14:paraId="39B4A7D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4E50F2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841268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C2E5FD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FDFC51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C58E5D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F33E95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-</w:t>
            </w:r>
          </w:p>
        </w:tc>
      </w:tr>
      <w:tr w:rsidR="007C3506" w14:paraId="10D6637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9757B7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0CF04E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6BBE9A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7BBA63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13.031,62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AA5AC1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58.154,35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689985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446,3</w:t>
            </w:r>
          </w:p>
        </w:tc>
      </w:tr>
      <w:tr w:rsidR="007C3506" w14:paraId="7F69E7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B20E58" w14:textId="77777777" w:rsidR="007C3506" w:rsidRDefault="007C3506" w:rsidP="00D22620">
            <w:pPr>
              <w:keepNext/>
              <w:keepLines/>
              <w:spacing w:after="0" w:line="240" w:lineRule="auto"/>
              <w:jc w:val="both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DCF818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269E6A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981F5A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13.031,62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F7872E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58.154,35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09AE21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446,3</w:t>
            </w:r>
          </w:p>
        </w:tc>
      </w:tr>
      <w:tr w:rsidR="007C3506" w14:paraId="13DC370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D8819A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F0A938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988CA2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57DAAD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6CDEAF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A7D67B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-</w:t>
            </w:r>
          </w:p>
        </w:tc>
      </w:tr>
      <w:tr w:rsidR="007C3506" w14:paraId="2792321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36E0D5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5BF917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6F9330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6E933F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13A6A3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EC9161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-</w:t>
            </w:r>
          </w:p>
        </w:tc>
      </w:tr>
      <w:tr w:rsidR="007C3506" w14:paraId="02C3164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98A64D" w14:textId="77777777" w:rsidR="007C3506" w:rsidRDefault="007C3506" w:rsidP="00D22620">
            <w:pPr>
              <w:keepNext/>
              <w:keepLines/>
              <w:spacing w:after="0" w:line="240" w:lineRule="auto"/>
              <w:jc w:val="both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309ACF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AFD1F0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15BCC0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F7066A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BDE33B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-</w:t>
            </w:r>
          </w:p>
        </w:tc>
      </w:tr>
      <w:tr w:rsidR="007C3506" w14:paraId="3A931D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3AF625" w14:textId="77777777" w:rsidR="007C3506" w:rsidRDefault="007C3506" w:rsidP="00D22620">
            <w:pPr>
              <w:keepNext/>
              <w:keepLines/>
              <w:spacing w:after="0" w:line="240" w:lineRule="auto"/>
              <w:jc w:val="both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019415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9A9B4F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44E995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54.536,78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C1E8B3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248.401,71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08E056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455,5</w:t>
            </w:r>
          </w:p>
        </w:tc>
      </w:tr>
    </w:tbl>
    <w:p w14:paraId="38E95F23" w14:textId="77777777" w:rsidR="007C3506" w:rsidRDefault="007C3506" w:rsidP="00D22620">
      <w:pPr>
        <w:spacing w:after="0"/>
        <w:jc w:val="both"/>
      </w:pPr>
    </w:p>
    <w:p w14:paraId="7BC306D5" w14:textId="4C3F51E4" w:rsidR="007C3506" w:rsidRDefault="00000000" w:rsidP="00D22620">
      <w:pPr>
        <w:jc w:val="both"/>
      </w:pPr>
      <w:r>
        <w:t>Dom za starije osobe Petrinja vodi proračunsko računovodstvo temeljem Pravilnika o proračunskom računovodstvu i Računskom planu, a financijske izvještaje sastavlja i predaje u skladu s odredbama pravilnika o financijskom izvještavanju u proračunskom.Za predaju i sastavljanje godišnjih financijskih izvještaja korišteni su elektronski obrasci koji su preuzeti s platforme RKPFI.</w:t>
      </w:r>
    </w:p>
    <w:p w14:paraId="03EA123E" w14:textId="77777777" w:rsidR="007C3506" w:rsidRDefault="00000000" w:rsidP="00D22620">
      <w:pPr>
        <w:keepNext/>
        <w:spacing w:line="240" w:lineRule="auto"/>
        <w:jc w:val="both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C3506" w14:paraId="50A0AF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CA878D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BEFA74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9AD989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980261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A04A7B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564BA3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Indeks (%)</w:t>
            </w:r>
          </w:p>
        </w:tc>
      </w:tr>
      <w:tr w:rsidR="007C3506" w14:paraId="60C8963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7091B4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92839A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CF8348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EC6747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1.980.138,43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42EE07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2.723.341,25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B25735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137,5</w:t>
            </w:r>
          </w:p>
        </w:tc>
      </w:tr>
    </w:tbl>
    <w:p w14:paraId="0A36E571" w14:textId="77777777" w:rsidR="007C3506" w:rsidRDefault="007C3506" w:rsidP="00D22620">
      <w:pPr>
        <w:spacing w:after="0"/>
        <w:jc w:val="both"/>
      </w:pPr>
    </w:p>
    <w:p w14:paraId="43498623" w14:textId="4CCF5156" w:rsidR="007C3506" w:rsidRDefault="00000000" w:rsidP="00D22620">
      <w:pPr>
        <w:jc w:val="both"/>
      </w:pPr>
      <w:r>
        <w:t>Prihodi poslovanja ima index 137,5 i odnosi se na ukupne prihode Doma za starije osobe Petrinja koji su u 2025. godini iznosili 2.723.341,25 eura što je za 37,5% više u odnosu na prethodnu godinu. </w:t>
      </w:r>
    </w:p>
    <w:p w14:paraId="76ABBB76" w14:textId="77777777" w:rsidR="007C3506" w:rsidRDefault="00000000" w:rsidP="00D22620">
      <w:pPr>
        <w:keepNext/>
        <w:spacing w:line="240" w:lineRule="auto"/>
        <w:jc w:val="both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C3506" w14:paraId="4FA276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439A66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8710B2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986E1B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C4DBF3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36C076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8237C5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Indeks (%)</w:t>
            </w:r>
          </w:p>
        </w:tc>
      </w:tr>
      <w:tr w:rsidR="007C3506" w14:paraId="624037D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AEC8B3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564150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145C12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1D1FB6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828.635,76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568F04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1.478.260,87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B956B4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178,4</w:t>
            </w:r>
          </w:p>
        </w:tc>
      </w:tr>
    </w:tbl>
    <w:p w14:paraId="54AA33A7" w14:textId="77777777" w:rsidR="007C3506" w:rsidRDefault="007C3506" w:rsidP="00D22620">
      <w:pPr>
        <w:spacing w:after="0"/>
        <w:jc w:val="both"/>
      </w:pPr>
    </w:p>
    <w:p w14:paraId="208C68A2" w14:textId="77777777" w:rsidR="007C3506" w:rsidRDefault="00000000" w:rsidP="00D22620">
      <w:pPr>
        <w:jc w:val="both"/>
      </w:pPr>
      <w:r>
        <w:t>Šifra 652 – Ostali nespomenuti prihodi ima indeks od 178,4 i odnosi se na prihode Doma  koje Dom ostvaruje sukladno svom poslovanju te iznose ukupno 1.478.260,87 eura što je 78,4 % više u odnosu na prošlu godinu.  </w:t>
      </w:r>
    </w:p>
    <w:p w14:paraId="4596D5F5" w14:textId="77777777" w:rsidR="007C3506" w:rsidRDefault="00000000" w:rsidP="00D22620">
      <w:pPr>
        <w:jc w:val="both"/>
      </w:pPr>
      <w:r>
        <w:t>Ostali nespomenuti prihodi se odnose na prihode od: </w:t>
      </w:r>
    </w:p>
    <w:p w14:paraId="469B004E" w14:textId="77777777" w:rsidR="007C3506" w:rsidRDefault="00000000" w:rsidP="00D22620">
      <w:pPr>
        <w:jc w:val="both"/>
      </w:pPr>
      <w:r>
        <w:t>-        prihoda od opskrbnina i participacija (smještaj) u ukupnom iznosu od 742.552,05 eura </w:t>
      </w:r>
    </w:p>
    <w:p w14:paraId="4367842E" w14:textId="77777777" w:rsidR="007C3506" w:rsidRDefault="00000000" w:rsidP="00D22620">
      <w:pPr>
        <w:jc w:val="both"/>
      </w:pPr>
      <w:r>
        <w:t>-        prihoda od izvaninstitucionalne djelatnosti (ručak) u ukupnom iznosu od 140.081,77 eura</w:t>
      </w:r>
    </w:p>
    <w:p w14:paraId="7546BC5D" w14:textId="77777777" w:rsidR="007C3506" w:rsidRDefault="00000000" w:rsidP="00D22620">
      <w:pPr>
        <w:jc w:val="both"/>
      </w:pPr>
      <w:r>
        <w:t>-        prihoda od Ministarstva rada, mirovinskog sustava, obitelji i socijalne politike 92.494,27 eura</w:t>
      </w:r>
    </w:p>
    <w:p w14:paraId="02640656" w14:textId="3435648E" w:rsidR="007C3506" w:rsidRDefault="00000000" w:rsidP="00D22620">
      <w:pPr>
        <w:jc w:val="both"/>
      </w:pPr>
      <w:r>
        <w:t>-        prihoda Sisačko-moslavačke županije za sufinanciranje smještaj korisnika Doma za starije osobe Petrinja u iznosu od 496.715,78 eura.</w:t>
      </w:r>
    </w:p>
    <w:p w14:paraId="5253CAC9" w14:textId="77777777" w:rsidR="007C3506" w:rsidRDefault="00000000" w:rsidP="00D22620">
      <w:pPr>
        <w:keepNext/>
        <w:spacing w:line="240" w:lineRule="auto"/>
        <w:jc w:val="both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C3506" w14:paraId="61BCE2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976E0A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65717E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BFABFE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35F21D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95F6E9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2E2137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Indeks (%)</w:t>
            </w:r>
          </w:p>
        </w:tc>
      </w:tr>
      <w:tr w:rsidR="007C3506" w14:paraId="44821EB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5A2418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278009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67D8DF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F7C9BD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247.224,35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03329F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203.283,28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B9EB3C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82,2</w:t>
            </w:r>
          </w:p>
        </w:tc>
      </w:tr>
    </w:tbl>
    <w:p w14:paraId="4EE1E624" w14:textId="77777777" w:rsidR="007C3506" w:rsidRDefault="007C3506" w:rsidP="00D22620">
      <w:pPr>
        <w:spacing w:after="0"/>
        <w:jc w:val="both"/>
      </w:pPr>
    </w:p>
    <w:p w14:paraId="4B46D6BB" w14:textId="77777777" w:rsidR="007C3506" w:rsidRDefault="00000000" w:rsidP="00D22620">
      <w:pPr>
        <w:jc w:val="both"/>
      </w:pPr>
      <w:r>
        <w:t>Šifra 661 – Prihodi od pruženih usluga ima indeks 82,2 i odnosi se na ukupne prihode koje Dom ostvaruje od pruženih usluga kuhanja i dostave ručka, te ostalih usluga (Dom za odrasle osobe Petrinja, Zaklada Josip Lang, ostalo). </w:t>
      </w:r>
    </w:p>
    <w:p w14:paraId="1E122011" w14:textId="75424C18" w:rsidR="007C3506" w:rsidRDefault="00000000" w:rsidP="00D22620">
      <w:pPr>
        <w:jc w:val="both"/>
      </w:pPr>
      <w:r>
        <w:t>Prihodi šifre 661 ukupno iznose 203.283,28 eura 2025. godini.</w:t>
      </w:r>
    </w:p>
    <w:p w14:paraId="3864DEC1" w14:textId="0C28A846" w:rsidR="007C3506" w:rsidRDefault="00000000" w:rsidP="00D22620">
      <w:pPr>
        <w:keepNext/>
        <w:spacing w:line="240" w:lineRule="auto"/>
        <w:jc w:val="both"/>
      </w:pPr>
      <w:r>
        <w:rPr>
          <w:sz w:val="28"/>
        </w:rPr>
        <w:lastRenderedPageBreak/>
        <w:t>Bi</w:t>
      </w:r>
      <w:r w:rsidR="00D22620">
        <w:rPr>
          <w:sz w:val="28"/>
        </w:rPr>
        <w:t>l</w:t>
      </w:r>
      <w:r>
        <w:rPr>
          <w:sz w:val="28"/>
        </w:rPr>
        <w:t>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C3506" w14:paraId="28FEF4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C25CE5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727B4F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F14F6E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80FE9C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B483BC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2E8DB4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Indeks (%)</w:t>
            </w:r>
          </w:p>
        </w:tc>
      </w:tr>
      <w:tr w:rsidR="007C3506" w14:paraId="4AA785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E48EE0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4A1B83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0E5F43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694BC2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3.591,90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8C10B8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7.480,44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6A2202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208,3</w:t>
            </w:r>
          </w:p>
        </w:tc>
      </w:tr>
    </w:tbl>
    <w:p w14:paraId="17B12434" w14:textId="77777777" w:rsidR="007C3506" w:rsidRDefault="007C3506" w:rsidP="00D22620">
      <w:pPr>
        <w:spacing w:after="0"/>
        <w:jc w:val="both"/>
      </w:pPr>
    </w:p>
    <w:p w14:paraId="3B2EC335" w14:textId="4ACB532A" w:rsidR="007C3506" w:rsidRDefault="00000000" w:rsidP="00D22620">
      <w:pPr>
        <w:jc w:val="both"/>
      </w:pPr>
      <w:r>
        <w:t>Šifra 663 –Kapitalne donacije ima indeks 208,3 budući da je Dom za starije osobe Petrinja u 2025. godini ostvario donaciju opreme u iznosu od 7.480,44 eura koja se koristi u redovitom poslovanju Doma.  </w:t>
      </w:r>
    </w:p>
    <w:p w14:paraId="0C039C54" w14:textId="77777777" w:rsidR="007C3506" w:rsidRDefault="00000000" w:rsidP="00D22620">
      <w:pPr>
        <w:keepNext/>
        <w:spacing w:line="240" w:lineRule="auto"/>
        <w:jc w:val="both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C3506" w14:paraId="50D299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91055B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87286F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2702E4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A6BEA1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EC07E6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F7BB21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Indeks (%)</w:t>
            </w:r>
          </w:p>
        </w:tc>
      </w:tr>
      <w:tr w:rsidR="007C3506" w14:paraId="162C59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6281B9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17578B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865852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F72020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882.658,45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983967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977.961,91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DEECBA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110,8</w:t>
            </w:r>
          </w:p>
        </w:tc>
      </w:tr>
    </w:tbl>
    <w:p w14:paraId="3E821E48" w14:textId="77777777" w:rsidR="007C3506" w:rsidRDefault="007C3506" w:rsidP="00D22620">
      <w:pPr>
        <w:spacing w:after="0"/>
        <w:jc w:val="both"/>
      </w:pPr>
    </w:p>
    <w:p w14:paraId="20D07372" w14:textId="77777777" w:rsidR="007C3506" w:rsidRDefault="00000000" w:rsidP="00D22620">
      <w:pPr>
        <w:jc w:val="both"/>
      </w:pPr>
      <w:r>
        <w:t>Šifra 671 – Prihodi iz nadležnog proračuna za financiranje rashoda poslovanja ima indeks 110,8   i iznosi ukupno 977.961,91 euro. </w:t>
      </w:r>
    </w:p>
    <w:p w14:paraId="77E9943C" w14:textId="77777777" w:rsidR="007C3506" w:rsidRDefault="00000000" w:rsidP="00D22620">
      <w:pPr>
        <w:jc w:val="both"/>
      </w:pPr>
      <w:r>
        <w:t>Sisačko-moslavačka županija je za financiranje rashoda poslovanja Doma uplatila iznose kako slijedi: </w:t>
      </w:r>
    </w:p>
    <w:p w14:paraId="56E8A7FF" w14:textId="77777777" w:rsidR="007C3506" w:rsidRDefault="00000000" w:rsidP="00D22620">
      <w:pPr>
        <w:jc w:val="both"/>
      </w:pPr>
      <w:r>
        <w:t>-        prihodi za financiranje rashoda poslovanja iznose 948.090,40 eura </w:t>
      </w:r>
    </w:p>
    <w:p w14:paraId="2E5D56D1" w14:textId="23D55930" w:rsidR="007C3506" w:rsidRDefault="00000000" w:rsidP="00D22620">
      <w:pPr>
        <w:jc w:val="both"/>
      </w:pPr>
      <w:r>
        <w:t>-        prihodi za financiranje rashoda za nabavu nefinancijske imovine iznose 29.871,51 euro</w:t>
      </w:r>
    </w:p>
    <w:p w14:paraId="4DD84F3D" w14:textId="77777777" w:rsidR="007C3506" w:rsidRDefault="00000000" w:rsidP="00D22620">
      <w:pPr>
        <w:keepNext/>
        <w:spacing w:line="240" w:lineRule="auto"/>
        <w:jc w:val="both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C3506" w14:paraId="09945F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64C3A7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B2DE77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0D84B9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A9930A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7A9457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999FCC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Indeks (%)</w:t>
            </w:r>
          </w:p>
        </w:tc>
      </w:tr>
      <w:tr w:rsidR="007C3506" w14:paraId="6093B3B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17FE89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8C9C25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4F1122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510916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2.021.643,59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D672A0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2.913.588,61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F8319A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144,1</w:t>
            </w:r>
          </w:p>
        </w:tc>
      </w:tr>
    </w:tbl>
    <w:p w14:paraId="1D634EDA" w14:textId="77777777" w:rsidR="007C3506" w:rsidRDefault="007C3506" w:rsidP="00D22620">
      <w:pPr>
        <w:spacing w:after="0"/>
        <w:jc w:val="both"/>
      </w:pPr>
    </w:p>
    <w:p w14:paraId="4CA27677" w14:textId="0ECC389C" w:rsidR="007C3506" w:rsidRDefault="00000000" w:rsidP="00D22620">
      <w:pPr>
        <w:jc w:val="both"/>
      </w:pPr>
      <w:r>
        <w:t>Šifra 3- Rashodi poslovanja ima indeks 144,1 i odnosi se na ukupne rashode u iznosu od 2.913.588,61 euro što je 44,1% više u odnosu na prethodnu godinu. </w:t>
      </w:r>
    </w:p>
    <w:p w14:paraId="0FA7971D" w14:textId="77777777" w:rsidR="007C3506" w:rsidRDefault="00000000" w:rsidP="00D22620">
      <w:pPr>
        <w:keepNext/>
        <w:spacing w:line="240" w:lineRule="auto"/>
        <w:jc w:val="both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C3506" w14:paraId="0C6BD1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5CEBE2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D2075B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71081F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5173D7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D5CC22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0503B3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Indeks (%)</w:t>
            </w:r>
          </w:p>
        </w:tc>
      </w:tr>
      <w:tr w:rsidR="007C3506" w14:paraId="370017A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53F5A8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03EE2B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D4D40A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D77D8B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1.533.113,95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F8055A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2.156.143,68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22EF5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140,6</w:t>
            </w:r>
          </w:p>
        </w:tc>
      </w:tr>
    </w:tbl>
    <w:p w14:paraId="1997AF9E" w14:textId="77777777" w:rsidR="007C3506" w:rsidRDefault="007C3506" w:rsidP="00D22620">
      <w:pPr>
        <w:spacing w:after="0"/>
        <w:jc w:val="both"/>
      </w:pPr>
    </w:p>
    <w:p w14:paraId="6B390D59" w14:textId="77777777" w:rsidR="007C3506" w:rsidRDefault="00000000" w:rsidP="00D22620">
      <w:pPr>
        <w:jc w:val="both"/>
      </w:pPr>
      <w:r>
        <w:lastRenderedPageBreak/>
        <w:t>Šifra 31-Rashodi za zaposlene ima indeks od 140,6 te ukupan iznos rashoda za zaposlene u 2025. godini iznosi 2.156.143,68 eura što je 40,6% više od prethodne godine u kojoj su rashodi za zaposlene iznosili 1.533.113,95 eura. </w:t>
      </w:r>
    </w:p>
    <w:p w14:paraId="06C1FE14" w14:textId="77777777" w:rsidR="007C3506" w:rsidRDefault="00000000" w:rsidP="00D22620">
      <w:pPr>
        <w:jc w:val="both"/>
      </w:pPr>
      <w:r>
        <w:t>Rashodi za zaposlene su slijedeći: </w:t>
      </w:r>
    </w:p>
    <w:p w14:paraId="5B3D0AB9" w14:textId="77777777" w:rsidR="007C3506" w:rsidRDefault="00000000" w:rsidP="00D22620">
      <w:pPr>
        <w:jc w:val="both"/>
      </w:pPr>
      <w:r>
        <w:t>-        konta 3111-3112-3113-3114 iznose 1.799.544,47 eura</w:t>
      </w:r>
    </w:p>
    <w:p w14:paraId="4FD143A8" w14:textId="77777777" w:rsidR="007C3506" w:rsidRDefault="00000000" w:rsidP="00D22620">
      <w:pPr>
        <w:jc w:val="both"/>
      </w:pPr>
      <w:r>
        <w:t>-        konto 3121-Ostali rashodi za zaposlene 79.715,25 eura</w:t>
      </w:r>
    </w:p>
    <w:p w14:paraId="2A1D65D0" w14:textId="77777777" w:rsidR="007C3506" w:rsidRDefault="00000000" w:rsidP="00D22620">
      <w:pPr>
        <w:jc w:val="both"/>
      </w:pPr>
      <w:r>
        <w:t>-        konto 3132-Doprinosi na plaće 276.883,96 eura</w:t>
      </w:r>
    </w:p>
    <w:p w14:paraId="22B9BC60" w14:textId="15585348" w:rsidR="007C3506" w:rsidRDefault="00000000" w:rsidP="00D22620">
      <w:pPr>
        <w:jc w:val="both"/>
      </w:pPr>
      <w:r>
        <w:t>-        konto 3212-Naknade za prijevoz na i s posla iznose 63.695,88 eura </w:t>
      </w:r>
    </w:p>
    <w:p w14:paraId="4A7C7E73" w14:textId="77777777" w:rsidR="007C3506" w:rsidRDefault="00000000" w:rsidP="00D22620">
      <w:pPr>
        <w:keepNext/>
        <w:spacing w:line="240" w:lineRule="auto"/>
        <w:jc w:val="both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C3506" w14:paraId="637452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0BD7DF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655489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68F366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4E4B8D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B51C3D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093CF5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Indeks (%)</w:t>
            </w:r>
          </w:p>
        </w:tc>
      </w:tr>
      <w:tr w:rsidR="007C3506" w14:paraId="36F588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9F2D37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9650E6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AA710F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C001DF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486.622,80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14B569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751.638,85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80381D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154,5</w:t>
            </w:r>
          </w:p>
        </w:tc>
      </w:tr>
    </w:tbl>
    <w:p w14:paraId="048279C9" w14:textId="77777777" w:rsidR="007C3506" w:rsidRDefault="007C3506" w:rsidP="00D22620">
      <w:pPr>
        <w:spacing w:after="0"/>
        <w:jc w:val="both"/>
      </w:pPr>
    </w:p>
    <w:p w14:paraId="77C01A67" w14:textId="4870401C" w:rsidR="007C3506" w:rsidRDefault="00000000" w:rsidP="00D22620">
      <w:pPr>
        <w:jc w:val="both"/>
      </w:pPr>
      <w:r>
        <w:t>Šifra 32-Materijalni rashodi ima indeks 154,5 te u 2025. godini iznosi 751.638,85 eura što je 54,5 % više nego prethodne godine. Povratkom korisnika u obnovljeni Dom povećali su se i materijalni rashodi (rashodi za materijal i sirovine, rashodi za energiju, rashodi za materijale i dijelove za održavanje, rashodi za usluge tekućeg i investicijskog održavanja, ostalo). </w:t>
      </w:r>
    </w:p>
    <w:p w14:paraId="1FC1DEDA" w14:textId="77777777" w:rsidR="007C3506" w:rsidRDefault="00000000" w:rsidP="00D22620">
      <w:pPr>
        <w:keepNext/>
        <w:spacing w:line="240" w:lineRule="auto"/>
        <w:jc w:val="both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C3506" w14:paraId="3A1EF1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8F075E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1A8780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CD1823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23BA01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A3702F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13A148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Indeks (%)</w:t>
            </w:r>
          </w:p>
        </w:tc>
      </w:tr>
      <w:tr w:rsidR="007C3506" w14:paraId="153AF83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1D7A8F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F3A5A1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25D79F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CDC934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22.278,06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AC8C95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37.552,71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9A0EEA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168,6</w:t>
            </w:r>
          </w:p>
        </w:tc>
      </w:tr>
    </w:tbl>
    <w:p w14:paraId="1251C561" w14:textId="77777777" w:rsidR="007C3506" w:rsidRDefault="007C3506" w:rsidP="00D22620">
      <w:pPr>
        <w:spacing w:after="0"/>
        <w:jc w:val="both"/>
      </w:pPr>
    </w:p>
    <w:p w14:paraId="3C90C085" w14:textId="3674349D" w:rsidR="007C3506" w:rsidRDefault="00000000" w:rsidP="00D22620">
      <w:pPr>
        <w:jc w:val="both"/>
      </w:pPr>
      <w:r>
        <w:t>Šifra 3221- Uredski materijal i ostali materijalni rashodi ima indeks 168,6 te u 2025. godini iznose 37.522,71 euro što je 68,6% više nego protekle godine kada su iznosili 22.278,06 eura.</w:t>
      </w:r>
    </w:p>
    <w:p w14:paraId="18368F6D" w14:textId="77777777" w:rsidR="007C3506" w:rsidRDefault="00000000" w:rsidP="00D22620">
      <w:pPr>
        <w:keepNext/>
        <w:spacing w:line="240" w:lineRule="auto"/>
        <w:jc w:val="both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C3506" w14:paraId="109A5D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290BAA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B11BAD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7F880D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933889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ECA321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3B0E24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Indeks (%)</w:t>
            </w:r>
          </w:p>
        </w:tc>
      </w:tr>
      <w:tr w:rsidR="007C3506" w14:paraId="65605F5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FA7E90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D60C25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9C92E7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BC68E2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191.654,31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107797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324.306,91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C8909A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169,2</w:t>
            </w:r>
          </w:p>
        </w:tc>
      </w:tr>
    </w:tbl>
    <w:p w14:paraId="3D36DFD4" w14:textId="77777777" w:rsidR="007C3506" w:rsidRDefault="007C3506" w:rsidP="00D22620">
      <w:pPr>
        <w:spacing w:after="0"/>
        <w:jc w:val="both"/>
      </w:pPr>
    </w:p>
    <w:p w14:paraId="2F27D462" w14:textId="7E2EDB77" w:rsidR="007C3506" w:rsidRDefault="00000000" w:rsidP="00D22620">
      <w:pPr>
        <w:jc w:val="both"/>
      </w:pPr>
      <w:r>
        <w:t>Šifra 3222 – Materijal i sirovine ima indeks 169,2 te iznosi 324.306,91 euro što je 69,2 % više nego protekle 2024. godine, a sve zbog povratka korisnika u Dom te usluga koje Dom pruža pripremanjem obroka (</w:t>
      </w:r>
      <w:proofErr w:type="spellStart"/>
      <w:r>
        <w:t>izvaninstitucija</w:t>
      </w:r>
      <w:proofErr w:type="spellEnd"/>
      <w:r>
        <w:t>, Dom za odrasle Petrinja, Zaklada Biskup Josip Lang)</w:t>
      </w:r>
    </w:p>
    <w:p w14:paraId="260B916A" w14:textId="77777777" w:rsidR="007C3506" w:rsidRDefault="00000000" w:rsidP="00D22620">
      <w:pPr>
        <w:keepNext/>
        <w:spacing w:line="240" w:lineRule="auto"/>
        <w:jc w:val="both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C3506" w14:paraId="654773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D652DF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35F3CD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D6E18E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97D582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E6BCA8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E07077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Indeks (%)</w:t>
            </w:r>
          </w:p>
        </w:tc>
      </w:tr>
      <w:tr w:rsidR="007C3506" w14:paraId="69848BD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2AA3C8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D9D20C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5BFE83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3FB8F6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90.411,23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A7993F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125.993,69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AEE498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139,4</w:t>
            </w:r>
          </w:p>
        </w:tc>
      </w:tr>
    </w:tbl>
    <w:p w14:paraId="1CF56AE2" w14:textId="77777777" w:rsidR="007C3506" w:rsidRDefault="007C3506" w:rsidP="00D22620">
      <w:pPr>
        <w:spacing w:after="0"/>
        <w:jc w:val="both"/>
      </w:pPr>
    </w:p>
    <w:p w14:paraId="6979E46C" w14:textId="66A65751" w:rsidR="007C3506" w:rsidRDefault="00000000" w:rsidP="00D22620">
      <w:pPr>
        <w:jc w:val="both"/>
      </w:pPr>
      <w:r>
        <w:t>Šifra 3223 – Energija ima indeks 139,4 te iznosi 125.993,69 eura što je 39,4% više nego protekle 2024. godine, a sve zbog povećanja troškova energije, budući da su se u Dom vratili korisnici te je samim time i potrošnja energenata u cijeloj godini povećana.</w:t>
      </w:r>
    </w:p>
    <w:p w14:paraId="043CF953" w14:textId="77777777" w:rsidR="007C3506" w:rsidRDefault="00000000" w:rsidP="00D22620">
      <w:pPr>
        <w:keepNext/>
        <w:spacing w:line="240" w:lineRule="auto"/>
        <w:jc w:val="both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C3506" w14:paraId="19BCD4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35A2D2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B41892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1F8169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B49A52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911B53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D20955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Indeks (%)</w:t>
            </w:r>
          </w:p>
        </w:tc>
      </w:tr>
      <w:tr w:rsidR="007C3506" w14:paraId="11E6DB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433F27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DAAE2F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591404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61E093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312,40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F162CF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5.733,00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687F42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1835,1</w:t>
            </w:r>
          </w:p>
        </w:tc>
      </w:tr>
    </w:tbl>
    <w:p w14:paraId="60880C64" w14:textId="77777777" w:rsidR="007C3506" w:rsidRDefault="007C3506" w:rsidP="00D22620">
      <w:pPr>
        <w:spacing w:after="0"/>
        <w:jc w:val="both"/>
      </w:pPr>
    </w:p>
    <w:p w14:paraId="475099E5" w14:textId="1670BEA2" w:rsidR="007C3506" w:rsidRDefault="00000000" w:rsidP="00D22620">
      <w:pPr>
        <w:jc w:val="both"/>
      </w:pPr>
      <w:r>
        <w:t>Šifra 3227–Službena, radna i zaštitna odjeća i obuća iznosi 5.733,00 eura. Budući da sukladno zakonskim osnovama i kolektivnom ugovoru zaposlenici imaju pravo na novu službenu i radnu odjeću svake dvije godine. </w:t>
      </w:r>
    </w:p>
    <w:p w14:paraId="7A2CBB3B" w14:textId="77777777" w:rsidR="007C3506" w:rsidRDefault="00000000" w:rsidP="00D22620">
      <w:pPr>
        <w:keepNext/>
        <w:spacing w:line="240" w:lineRule="auto"/>
        <w:jc w:val="both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C3506" w14:paraId="4B3229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17CCDB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1AC24E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9CEE86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774965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4782CE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7204E1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Indeks (%)</w:t>
            </w:r>
          </w:p>
        </w:tc>
      </w:tr>
      <w:tr w:rsidR="007C3506" w14:paraId="6DC97C1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5F5323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054241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CB779B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B82D6E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102.311,54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B3B0AD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160.484,26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8D9CE9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156,9</w:t>
            </w:r>
          </w:p>
        </w:tc>
      </w:tr>
    </w:tbl>
    <w:p w14:paraId="65AAA2AC" w14:textId="77777777" w:rsidR="007C3506" w:rsidRDefault="007C3506" w:rsidP="00D22620">
      <w:pPr>
        <w:spacing w:after="0"/>
        <w:jc w:val="both"/>
      </w:pPr>
    </w:p>
    <w:p w14:paraId="6068BD52" w14:textId="23134494" w:rsidR="007C3506" w:rsidRDefault="00000000" w:rsidP="00D22620">
      <w:pPr>
        <w:jc w:val="both"/>
      </w:pPr>
      <w:r>
        <w:t>Šifra 323-Rashodi za usluge ima indeks 156,9 te u 2025. godini iznosi 160.484,26 eura. Ovi rashodi su viši za 56,9% u odnosu na proteklu godinu kada su iznosili 102.311,54 euro</w:t>
      </w:r>
    </w:p>
    <w:p w14:paraId="2D33D805" w14:textId="77777777" w:rsidR="007C3506" w:rsidRDefault="00000000" w:rsidP="00D22620">
      <w:pPr>
        <w:keepNext/>
        <w:spacing w:line="240" w:lineRule="auto"/>
        <w:jc w:val="both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C3506" w14:paraId="362451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F2FA81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80F3AA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10A190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13053A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BC5BD6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1BEB72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Indeks (%)</w:t>
            </w:r>
          </w:p>
        </w:tc>
      </w:tr>
      <w:tr w:rsidR="007C3506" w14:paraId="6690C0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67BEF3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153F8D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33E4CD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DD91D9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8.877,12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30F199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13.875,75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B14429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156,3</w:t>
            </w:r>
          </w:p>
        </w:tc>
      </w:tr>
    </w:tbl>
    <w:p w14:paraId="5A47CF78" w14:textId="77777777" w:rsidR="007C3506" w:rsidRDefault="007C3506" w:rsidP="00D22620">
      <w:pPr>
        <w:spacing w:after="0"/>
        <w:jc w:val="both"/>
      </w:pPr>
    </w:p>
    <w:p w14:paraId="0FEF2595" w14:textId="77777777" w:rsidR="007C3506" w:rsidRDefault="00000000" w:rsidP="00D22620">
      <w:pPr>
        <w:jc w:val="both"/>
      </w:pPr>
      <w:r>
        <w:t>Šifra 3231- Usluge telefona, interneta, pošte i prijevoza imaju indeks od 156,3 te u 2025. godini iznose 13.875,75 eura što je povećanje rashoda za navedene usluge za ukupno 56,3%. </w:t>
      </w:r>
    </w:p>
    <w:p w14:paraId="588C067E" w14:textId="7E4DF828" w:rsidR="007C3506" w:rsidRDefault="00000000" w:rsidP="00D22620">
      <w:pPr>
        <w:jc w:val="both"/>
      </w:pPr>
      <w:r>
        <w:t>Troškovi za navedenu uslugu su povećani budući da je Dom uložio u postojeću mrežnu infrastrukturu (Internet/zaštita) kako bi se omogućilo uredno i nesmetano funkcioniranje svih odjela, posebno zdravstvenog zbog naručivanja lijekova za korisnike, naručivanje korisnika na liječničke i specijalističke preglede te ostalog.</w:t>
      </w:r>
    </w:p>
    <w:p w14:paraId="0EE1FCA6" w14:textId="77777777" w:rsidR="007C3506" w:rsidRDefault="00000000" w:rsidP="00D22620">
      <w:pPr>
        <w:keepNext/>
        <w:spacing w:line="240" w:lineRule="auto"/>
        <w:jc w:val="both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C3506" w14:paraId="369D5C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A61CDD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ADF260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38072B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77E298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3CE998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DA0FCF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Indeks (%)</w:t>
            </w:r>
          </w:p>
        </w:tc>
      </w:tr>
      <w:tr w:rsidR="007C3506" w14:paraId="6DED761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FC28CF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B67F17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3672CB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DE9CA0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25.297,77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2B9FE2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59.803,03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A18163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236,4</w:t>
            </w:r>
          </w:p>
        </w:tc>
      </w:tr>
    </w:tbl>
    <w:p w14:paraId="49D893B1" w14:textId="77777777" w:rsidR="007C3506" w:rsidRDefault="007C3506" w:rsidP="00D22620">
      <w:pPr>
        <w:spacing w:after="0"/>
        <w:jc w:val="both"/>
      </w:pPr>
    </w:p>
    <w:p w14:paraId="604BDE0E" w14:textId="50A9C62C" w:rsidR="007C3506" w:rsidRDefault="00000000" w:rsidP="00D22620">
      <w:pPr>
        <w:jc w:val="both"/>
      </w:pPr>
      <w:r>
        <w:t>Šifra 3232- Usluge tekućeg i investicijskog održavanja ima indeks 236,4 te iznose 59.803,03 eura što je ukupno 136,4% više u odnosu na prethodnu godinu kada su rashodi za navedene usluge iznosili 25.297,77 eura. Troš</w:t>
      </w:r>
      <w:r w:rsidR="00D22620">
        <w:t>ak</w:t>
      </w:r>
      <w:r>
        <w:t xml:space="preserve"> navedenih usluga odnose se na održavanje domskog dizala, servisiranja kuhinjskih uređaja, popravaka perilica za pranje odjeće korisnika, servisiranja i popravaka prijevoznih sredstava koje Dom koristi za prijevoz korisnika i s kojom obavlja uslugu dostave obroka. </w:t>
      </w:r>
    </w:p>
    <w:p w14:paraId="5992A5F6" w14:textId="77777777" w:rsidR="007C3506" w:rsidRDefault="00000000" w:rsidP="00D22620">
      <w:pPr>
        <w:keepNext/>
        <w:spacing w:line="240" w:lineRule="auto"/>
        <w:jc w:val="both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C3506" w14:paraId="63C180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F5B744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8490EF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B8E384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FCE565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F90E23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A03941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Indeks (%)</w:t>
            </w:r>
          </w:p>
        </w:tc>
      </w:tr>
      <w:tr w:rsidR="007C3506" w14:paraId="21357B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75359F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96CF81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A3714A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3DED2A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13.296,88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C03077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51.605,44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0FEE4A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388,1</w:t>
            </w:r>
          </w:p>
        </w:tc>
      </w:tr>
    </w:tbl>
    <w:p w14:paraId="1BCBF543" w14:textId="77777777" w:rsidR="007C3506" w:rsidRDefault="007C3506" w:rsidP="00D22620">
      <w:pPr>
        <w:spacing w:after="0"/>
        <w:jc w:val="both"/>
      </w:pPr>
    </w:p>
    <w:p w14:paraId="0780A712" w14:textId="36F32322" w:rsidR="007C3506" w:rsidRDefault="00000000" w:rsidP="00D22620">
      <w:pPr>
        <w:jc w:val="both"/>
      </w:pPr>
      <w:r>
        <w:t xml:space="preserve">Šifra 3234- Komunalne usluge ima indeks 388,1 što je znatno povećanje u odnosu na prošlu godinu od ukupno 288% te iznose 51.605,44 eura, a odnosne se na troškove vode, odvoza smeća, deratizacije, komunalne naknade. Troškovi navedenih usluga povećani su sukladno povratku korisnika u Dom, odnosno </w:t>
      </w:r>
      <w:r w:rsidR="00506109">
        <w:t>ostvarenju</w:t>
      </w:r>
      <w:r>
        <w:t xml:space="preserve"> punog smještajnog kapaciteta Doma. </w:t>
      </w:r>
    </w:p>
    <w:p w14:paraId="6D961CDA" w14:textId="77777777" w:rsidR="007C3506" w:rsidRDefault="00000000" w:rsidP="00D22620">
      <w:pPr>
        <w:keepNext/>
        <w:spacing w:line="240" w:lineRule="auto"/>
        <w:jc w:val="both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C3506" w14:paraId="64CEA5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DDC3B1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A937BE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CC30B6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75BB45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9DFC8A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EE15FF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Indeks (%)</w:t>
            </w:r>
          </w:p>
        </w:tc>
      </w:tr>
      <w:tr w:rsidR="007C3506" w14:paraId="5AFCA89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B53B6C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B59CF0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5282F2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765CFF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1.973,52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DA8FBB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6.137,73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C8E4C1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311,0</w:t>
            </w:r>
          </w:p>
        </w:tc>
      </w:tr>
    </w:tbl>
    <w:p w14:paraId="29DB7E18" w14:textId="77777777" w:rsidR="007C3506" w:rsidRDefault="007C3506" w:rsidP="00D22620">
      <w:pPr>
        <w:spacing w:after="0"/>
        <w:jc w:val="both"/>
      </w:pPr>
    </w:p>
    <w:p w14:paraId="4C9FF4E8" w14:textId="0D8D4CB2" w:rsidR="007C3506" w:rsidRDefault="00000000" w:rsidP="00D22620">
      <w:pPr>
        <w:jc w:val="both"/>
      </w:pPr>
      <w:r>
        <w:t>Šifra 3237- Intelektualne i osobne usluge imaju indeks od 311 te iznose 6.137,73</w:t>
      </w:r>
      <w:r w:rsidR="00506109">
        <w:t xml:space="preserve"> </w:t>
      </w:r>
      <w:r>
        <w:t>eura</w:t>
      </w:r>
      <w:r w:rsidR="00506109">
        <w:t>.</w:t>
      </w:r>
      <w:r>
        <w:t xml:space="preserve"> Povećanje se odnosi na usluge specijalističke zdravstvene skrbi, a u cilju zaštite i poboljšanja fizičkog zdravlja korisnika Doma te pravne usluge savjetovanja. </w:t>
      </w:r>
    </w:p>
    <w:p w14:paraId="2F8337DB" w14:textId="77777777" w:rsidR="007C3506" w:rsidRDefault="00000000" w:rsidP="00D22620">
      <w:pPr>
        <w:keepNext/>
        <w:spacing w:line="240" w:lineRule="auto"/>
        <w:jc w:val="both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C3506" w14:paraId="0DCB5A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02A2A6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26AF31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1BD26C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648187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CA0177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A721E0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Indeks (%)</w:t>
            </w:r>
          </w:p>
        </w:tc>
      </w:tr>
      <w:tr w:rsidR="007C3506" w14:paraId="4E23C2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5EAF30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73B2F5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A537C6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596771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17.882,96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E242F3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19.026,37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2F4981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106,4</w:t>
            </w:r>
          </w:p>
        </w:tc>
      </w:tr>
    </w:tbl>
    <w:p w14:paraId="4CF957CF" w14:textId="77777777" w:rsidR="007C3506" w:rsidRDefault="007C3506" w:rsidP="00D22620">
      <w:pPr>
        <w:spacing w:after="0"/>
        <w:jc w:val="both"/>
      </w:pPr>
    </w:p>
    <w:p w14:paraId="6C23F746" w14:textId="121AC172" w:rsidR="007C3506" w:rsidRDefault="00000000" w:rsidP="00D22620">
      <w:pPr>
        <w:jc w:val="both"/>
      </w:pPr>
      <w:r>
        <w:t xml:space="preserve">Šifra 329 Ostali nespomenuti rashodi poslovanja iznose 19.026,37 eura što je u odnosu na prošlu godinu manje povećanje od 6,4% kada su navedeni rashodi iznosili 17.882,96 eura te </w:t>
      </w:r>
      <w:r>
        <w:lastRenderedPageBreak/>
        <w:t>se odnose na naknade za rad predstavničkih tijela, premije osiguranja, članarine te ostale nespomenute rashode.</w:t>
      </w:r>
    </w:p>
    <w:p w14:paraId="3AD2388F" w14:textId="77777777" w:rsidR="007C3506" w:rsidRDefault="00000000" w:rsidP="00D22620">
      <w:pPr>
        <w:keepNext/>
        <w:spacing w:line="240" w:lineRule="auto"/>
        <w:jc w:val="both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C3506" w14:paraId="7AC2A4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D090CE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4FF3EC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4D6A57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F581FE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88C6D1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3FF5B9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Indeks (%)</w:t>
            </w:r>
          </w:p>
        </w:tc>
      </w:tr>
      <w:tr w:rsidR="007C3506" w14:paraId="28B093F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1D865C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B82AE6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528B3B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B40975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1.906,84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DBC218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5.806,08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B1DE79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304,5</w:t>
            </w:r>
          </w:p>
        </w:tc>
      </w:tr>
    </w:tbl>
    <w:p w14:paraId="192818B6" w14:textId="77777777" w:rsidR="007C3506" w:rsidRDefault="007C3506" w:rsidP="00D22620">
      <w:pPr>
        <w:spacing w:after="0"/>
        <w:jc w:val="both"/>
      </w:pPr>
    </w:p>
    <w:p w14:paraId="3248AC46" w14:textId="77777777" w:rsidR="007C3506" w:rsidRDefault="00000000" w:rsidP="00D22620">
      <w:pPr>
        <w:jc w:val="both"/>
      </w:pPr>
      <w:r>
        <w:t>Šifra 34 Ostali financijski rashodi iznose 5.806,08 i imaju indeks od 304,5.</w:t>
      </w:r>
    </w:p>
    <w:p w14:paraId="5EE5D6FB" w14:textId="277BFACC" w:rsidR="007C3506" w:rsidRDefault="00000000" w:rsidP="00D22620">
      <w:pPr>
        <w:jc w:val="both"/>
      </w:pPr>
      <w:r>
        <w:t>Ovi rashodi se odnose na bankarske usluge i usluge platnog prometa, ali i plaćanja zateznih kamata za nepodmirivanje obveza prema dobavljačima. Budući da Dom ima kontinuirani manjak prihoda nad rashodima, plaćanje izvan dospijeća bilo je nužno kako bi Dom normalno funkcionirao. </w:t>
      </w:r>
    </w:p>
    <w:p w14:paraId="3275352C" w14:textId="77777777" w:rsidR="007C3506" w:rsidRDefault="00000000" w:rsidP="00D22620">
      <w:pPr>
        <w:keepNext/>
        <w:spacing w:line="240" w:lineRule="auto"/>
        <w:jc w:val="both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C3506" w14:paraId="3809BA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85B898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07705F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6E951F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5BB156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AEF95F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A19625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Indeks (%)</w:t>
            </w:r>
          </w:p>
        </w:tc>
      </w:tr>
      <w:tr w:rsidR="007C3506" w14:paraId="0BC29AE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4DF8CB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4E618F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016E4F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F1B1DB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13.031,62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40DA47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33.007,74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02A6B8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253,3</w:t>
            </w:r>
          </w:p>
        </w:tc>
      </w:tr>
    </w:tbl>
    <w:p w14:paraId="43BDD415" w14:textId="77777777" w:rsidR="007C3506" w:rsidRDefault="007C3506" w:rsidP="00D22620">
      <w:pPr>
        <w:spacing w:after="0"/>
        <w:jc w:val="both"/>
      </w:pPr>
    </w:p>
    <w:p w14:paraId="4EABC30B" w14:textId="5A51296B" w:rsidR="007C3506" w:rsidRDefault="00000000" w:rsidP="00D22620">
      <w:pPr>
        <w:jc w:val="both"/>
      </w:pPr>
      <w:r>
        <w:t>Šifra 422 – Postrojenja i oprema ukupno iznosi 33.007,74 eura budući da je Dom u 2025. godini nabavio stroj za sprječavanje nastanka bio otpada u kuhinji, novi zamrzivač te računalnu opremu kako bi unaprijedio redovito poslovanje.</w:t>
      </w:r>
    </w:p>
    <w:p w14:paraId="2E666C1E" w14:textId="77777777" w:rsidR="007C3506" w:rsidRDefault="00000000" w:rsidP="00D22620">
      <w:pPr>
        <w:keepNext/>
        <w:spacing w:line="240" w:lineRule="auto"/>
        <w:jc w:val="both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C3506" w14:paraId="21CB97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4E7CB0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1231D9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0F175D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003A34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C5BAA1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956EE2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Indeks (%)</w:t>
            </w:r>
          </w:p>
        </w:tc>
      </w:tr>
      <w:tr w:rsidR="007C3506" w14:paraId="53161E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6D2FCD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CF798D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Prijevozna sredstva (šifre 4231 do 4234)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770B42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F7D88B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3AFFC0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25.146,61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22584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-</w:t>
            </w:r>
          </w:p>
        </w:tc>
      </w:tr>
    </w:tbl>
    <w:p w14:paraId="12A4D2DC" w14:textId="77777777" w:rsidR="007C3506" w:rsidRDefault="007C3506" w:rsidP="00D22620">
      <w:pPr>
        <w:spacing w:after="0"/>
        <w:jc w:val="both"/>
      </w:pPr>
    </w:p>
    <w:p w14:paraId="420101CE" w14:textId="76AEC862" w:rsidR="007C3506" w:rsidRDefault="00000000" w:rsidP="00D22620">
      <w:pPr>
        <w:jc w:val="both"/>
      </w:pPr>
      <w:r>
        <w:t>Šifra 423- Prijevozna sredstva u cestovnom prometu iznosi 25.146,61 euro i odnosi se na nabavu novog vozila za dostavu hrane budući da dosadašnje vozilo kojim se služio Dom za izvršavanje navedene usluge više nije bilo sigurno, a popravak nije bio isplativ. </w:t>
      </w:r>
    </w:p>
    <w:p w14:paraId="3BAF1719" w14:textId="77777777" w:rsidR="007C3506" w:rsidRDefault="00000000" w:rsidP="00D22620">
      <w:pPr>
        <w:keepNext/>
        <w:spacing w:line="240" w:lineRule="auto"/>
        <w:jc w:val="both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C3506" w14:paraId="6819A5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15FD10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9A26A1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C8C3D6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0D97F3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8B0964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F41015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Indeks (%)</w:t>
            </w:r>
          </w:p>
        </w:tc>
      </w:tr>
      <w:tr w:rsidR="007C3506" w14:paraId="12A2EE8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EC68D2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7E1470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E2BF7C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D8FE18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185.892,52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98B6E8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132.467,29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ADDA77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71,3</w:t>
            </w:r>
          </w:p>
        </w:tc>
      </w:tr>
    </w:tbl>
    <w:p w14:paraId="0FA6AA03" w14:textId="77777777" w:rsidR="007C3506" w:rsidRDefault="007C3506" w:rsidP="00D22620">
      <w:pPr>
        <w:spacing w:after="0"/>
        <w:jc w:val="both"/>
      </w:pPr>
    </w:p>
    <w:p w14:paraId="0CF67F58" w14:textId="2A4A41A0" w:rsidR="007C3506" w:rsidRDefault="00000000" w:rsidP="00D22620">
      <w:pPr>
        <w:jc w:val="both"/>
      </w:pPr>
      <w:r>
        <w:t>Šifra 11 – Novac u banci i blagajni u iznosu od 132.467,29 eura odgovara stanju računa Doma na dan 31.12.2025. godine.</w:t>
      </w:r>
    </w:p>
    <w:p w14:paraId="67800B03" w14:textId="77777777" w:rsidR="007C3506" w:rsidRDefault="00000000" w:rsidP="00D22620">
      <w:pPr>
        <w:keepNext/>
        <w:spacing w:line="240" w:lineRule="auto"/>
        <w:jc w:val="both"/>
      </w:pPr>
      <w:r>
        <w:rPr>
          <w:b/>
          <w:sz w:val="28"/>
        </w:rPr>
        <w:lastRenderedPageBreak/>
        <w:t>Bilanca</w:t>
      </w:r>
    </w:p>
    <w:p w14:paraId="36336D33" w14:textId="77777777" w:rsidR="007C3506" w:rsidRDefault="00000000" w:rsidP="00D22620">
      <w:pPr>
        <w:keepNext/>
        <w:spacing w:line="240" w:lineRule="auto"/>
        <w:jc w:val="both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C3506" w14:paraId="6B649B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F101B6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DB8832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04C159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7A75B5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027CB1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766745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Indeks (%)</w:t>
            </w:r>
          </w:p>
        </w:tc>
      </w:tr>
      <w:tr w:rsidR="007C3506" w14:paraId="69496E9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A12640" w14:textId="77777777" w:rsidR="007C3506" w:rsidRDefault="007C3506" w:rsidP="00D22620">
            <w:pPr>
              <w:keepNext/>
              <w:keepLines/>
              <w:spacing w:after="0" w:line="240" w:lineRule="auto"/>
              <w:jc w:val="both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451B1F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2E651B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E98591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2.723.667,09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B5CD77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2.405.801,42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981423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88,3</w:t>
            </w:r>
          </w:p>
        </w:tc>
      </w:tr>
    </w:tbl>
    <w:p w14:paraId="41254617" w14:textId="77777777" w:rsidR="007C3506" w:rsidRDefault="007C3506" w:rsidP="00D22620">
      <w:pPr>
        <w:spacing w:after="0"/>
        <w:jc w:val="both"/>
      </w:pPr>
    </w:p>
    <w:p w14:paraId="40CC7B3E" w14:textId="7DC471DC" w:rsidR="007C3506" w:rsidRDefault="00000000" w:rsidP="00D22620">
      <w:pPr>
        <w:jc w:val="both"/>
      </w:pPr>
      <w:r>
        <w:t>Šifra B001 -  Imovina iznosi 2.405.801,42 eura. Vrijednost neproizvodne dugotrajne imovine iznosi 22.823,97, dok vrijednost proizvedene dugotrajne imovine iznosi 2.164.995,13 eura. </w:t>
      </w:r>
    </w:p>
    <w:p w14:paraId="7FA0C08D" w14:textId="77777777" w:rsidR="007C3506" w:rsidRDefault="00000000" w:rsidP="00D22620">
      <w:pPr>
        <w:keepNext/>
        <w:spacing w:line="240" w:lineRule="auto"/>
        <w:jc w:val="both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C3506" w14:paraId="36E2EE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07E8EB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7F576A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494164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5E88E5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B6A4C9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DCACEE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Indeks (%)</w:t>
            </w:r>
          </w:p>
        </w:tc>
      </w:tr>
      <w:tr w:rsidR="007C3506" w14:paraId="047A98E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DD7AAF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B85C92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C43472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1CA000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7.779,75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330EBF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12.143,33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C97AD9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156,1</w:t>
            </w:r>
          </w:p>
        </w:tc>
      </w:tr>
    </w:tbl>
    <w:p w14:paraId="6E495126" w14:textId="77777777" w:rsidR="007C3506" w:rsidRDefault="007C3506" w:rsidP="00D22620">
      <w:pPr>
        <w:spacing w:after="0"/>
        <w:jc w:val="both"/>
      </w:pPr>
    </w:p>
    <w:p w14:paraId="5EDDBEAE" w14:textId="745103D9" w:rsidR="007C3506" w:rsidRDefault="00000000" w:rsidP="00D22620">
      <w:pPr>
        <w:jc w:val="both"/>
      </w:pPr>
      <w:r>
        <w:t>Šifra 129 – Ostala potraživanja u iznosu od 12.143,33 eura se odnosi na potraživanja za naknade koje se refundiraju HZZO-a te potraživanja za predujmove (bolovanja, naknade kotizacije, smještaja)</w:t>
      </w:r>
    </w:p>
    <w:p w14:paraId="7BE90F25" w14:textId="77777777" w:rsidR="007C3506" w:rsidRDefault="00000000" w:rsidP="00D22620">
      <w:pPr>
        <w:keepNext/>
        <w:spacing w:line="240" w:lineRule="auto"/>
        <w:jc w:val="both"/>
      </w:pPr>
      <w:r>
        <w:rPr>
          <w:b/>
          <w:sz w:val="28"/>
        </w:rPr>
        <w:t>Izvještaj o rashodima prema funkcijskoj klasifikaciji</w:t>
      </w:r>
    </w:p>
    <w:p w14:paraId="36F6FAE6" w14:textId="77777777" w:rsidR="007C3506" w:rsidRDefault="00000000" w:rsidP="00D22620">
      <w:pPr>
        <w:keepNext/>
        <w:spacing w:line="240" w:lineRule="auto"/>
        <w:jc w:val="both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C3506" w14:paraId="264CF5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041828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1F7EC4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4EDC93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70D629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D4A5CD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E9B18B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Indeks (%)</w:t>
            </w:r>
          </w:p>
        </w:tc>
      </w:tr>
      <w:tr w:rsidR="007C3506" w14:paraId="0C9B447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83ED39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10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309944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Socijalna zaštita (šifre 101+102+103+104+105+106+107+108+109)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74C5C1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D3674A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2.034.675,21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2E4432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2.971.742,96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B027C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146,1</w:t>
            </w:r>
          </w:p>
        </w:tc>
      </w:tr>
    </w:tbl>
    <w:p w14:paraId="3B9E2E8C" w14:textId="77777777" w:rsidR="007C3506" w:rsidRDefault="007C3506" w:rsidP="00D22620">
      <w:pPr>
        <w:spacing w:after="0"/>
        <w:jc w:val="both"/>
      </w:pPr>
    </w:p>
    <w:p w14:paraId="61F2AAA6" w14:textId="630D90A5" w:rsidR="007C3506" w:rsidRDefault="00000000" w:rsidP="00D22620">
      <w:pPr>
        <w:jc w:val="both"/>
      </w:pPr>
      <w:r>
        <w:t>Šifra 120 – STAROST u iznosu od 2.971.742,96 eura odgovara ukupnim rashodima (Šifra Y345) iz obrasca PR-RAS . </w:t>
      </w:r>
    </w:p>
    <w:p w14:paraId="35899CD0" w14:textId="77777777" w:rsidR="007C3506" w:rsidRDefault="00000000" w:rsidP="00D22620">
      <w:pPr>
        <w:keepNext/>
        <w:spacing w:line="240" w:lineRule="auto"/>
        <w:jc w:val="both"/>
      </w:pPr>
      <w:r>
        <w:rPr>
          <w:b/>
          <w:sz w:val="28"/>
        </w:rPr>
        <w:t>Promjene u vrijednosti i obujmu imovine i obveza</w:t>
      </w:r>
    </w:p>
    <w:p w14:paraId="7B51B0B9" w14:textId="77777777" w:rsidR="007C3506" w:rsidRDefault="00000000" w:rsidP="00D22620">
      <w:pPr>
        <w:keepNext/>
        <w:spacing w:line="240" w:lineRule="auto"/>
        <w:jc w:val="both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C3506" w14:paraId="73021C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F5AF42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5128CD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9738A7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656C5B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FACB7B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5D0128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Indeks (%)</w:t>
            </w:r>
          </w:p>
        </w:tc>
      </w:tr>
      <w:tr w:rsidR="007C3506" w14:paraId="5DE9ACC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063A61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FA6FFC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A6DABB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221D04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BFD747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154.458,90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B29ACF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-</w:t>
            </w:r>
          </w:p>
        </w:tc>
      </w:tr>
    </w:tbl>
    <w:p w14:paraId="6895FCE5" w14:textId="77777777" w:rsidR="007C3506" w:rsidRDefault="007C3506" w:rsidP="00D22620">
      <w:pPr>
        <w:spacing w:after="0"/>
        <w:jc w:val="both"/>
      </w:pPr>
    </w:p>
    <w:p w14:paraId="5D13DCA5" w14:textId="77777777" w:rsidR="007C3506" w:rsidRDefault="00000000" w:rsidP="00D22620">
      <w:pPr>
        <w:jc w:val="both"/>
      </w:pPr>
      <w:r>
        <w:t> Šifra 9151 Promjena u vrijednosti i obujmu imovine iznosi 154.458,90 eura što se odnosi smanjenje vrijednosti imovine sukladno isknjiženima (Zapisnik 30.7.2025.,23.10.2025. i 27.11.2025.  rashodovanju i likvidiranju)</w:t>
      </w:r>
    </w:p>
    <w:p w14:paraId="5E047EA8" w14:textId="77777777" w:rsidR="007C3506" w:rsidRDefault="007C3506" w:rsidP="00D22620">
      <w:pPr>
        <w:jc w:val="both"/>
      </w:pPr>
    </w:p>
    <w:p w14:paraId="6D7BCF44" w14:textId="77777777" w:rsidR="007C3506" w:rsidRDefault="00000000" w:rsidP="00D22620">
      <w:pPr>
        <w:keepNext/>
        <w:spacing w:line="240" w:lineRule="auto"/>
        <w:jc w:val="both"/>
      </w:pPr>
      <w:r>
        <w:rPr>
          <w:b/>
          <w:sz w:val="28"/>
        </w:rPr>
        <w:lastRenderedPageBreak/>
        <w:t>Izvještaj o obvezama</w:t>
      </w:r>
    </w:p>
    <w:p w14:paraId="41CB548C" w14:textId="77777777" w:rsidR="007C3506" w:rsidRDefault="00000000" w:rsidP="00D22620">
      <w:pPr>
        <w:keepNext/>
        <w:spacing w:line="240" w:lineRule="auto"/>
        <w:jc w:val="both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7C3506" w14:paraId="10DC39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77479E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033A2F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DC0958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5F60F1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16CDA7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Indeks (%)</w:t>
            </w:r>
          </w:p>
        </w:tc>
      </w:tr>
      <w:tr w:rsidR="007C3506" w14:paraId="19EA850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A2B89A" w14:textId="77777777" w:rsidR="007C3506" w:rsidRDefault="007C3506" w:rsidP="00D22620">
            <w:pPr>
              <w:keepNext/>
              <w:keepLines/>
              <w:spacing w:after="0" w:line="240" w:lineRule="auto"/>
              <w:jc w:val="both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90D631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760585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BE927D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124.796,81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0690B6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-</w:t>
            </w:r>
          </w:p>
        </w:tc>
      </w:tr>
    </w:tbl>
    <w:p w14:paraId="54FD9756" w14:textId="77777777" w:rsidR="007C3506" w:rsidRDefault="007C3506" w:rsidP="00D22620">
      <w:pPr>
        <w:spacing w:after="0"/>
        <w:jc w:val="both"/>
      </w:pPr>
    </w:p>
    <w:p w14:paraId="60EBDC5C" w14:textId="00C3F5DA" w:rsidR="007C3506" w:rsidRDefault="00000000" w:rsidP="00D22620">
      <w:pPr>
        <w:jc w:val="both"/>
      </w:pPr>
      <w:r>
        <w:t>Navedene obveze u iznosu od 124.796,81 euro odnose se na dospjele obveze za materijalne rashode prema dobavljačima. </w:t>
      </w:r>
    </w:p>
    <w:p w14:paraId="5371AF67" w14:textId="77777777" w:rsidR="007C3506" w:rsidRDefault="00000000" w:rsidP="00D22620">
      <w:pPr>
        <w:keepNext/>
        <w:spacing w:line="240" w:lineRule="auto"/>
        <w:jc w:val="both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7C3506" w14:paraId="29E578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62F788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BEF293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6CC6E5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1722B2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9AE8E5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b/>
                <w:sz w:val="18"/>
              </w:rPr>
              <w:t>Indeks (%)</w:t>
            </w:r>
          </w:p>
        </w:tc>
      </w:tr>
      <w:tr w:rsidR="007C3506" w14:paraId="789158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3B62E9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4E7CD4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17B857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07CE08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291.358,61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77B616" w14:textId="77777777" w:rsidR="007C3506" w:rsidRDefault="00000000" w:rsidP="00D22620">
            <w:pPr>
              <w:keepNext/>
              <w:keepLines/>
              <w:spacing w:after="0" w:line="240" w:lineRule="auto"/>
              <w:jc w:val="both"/>
            </w:pPr>
            <w:r>
              <w:rPr>
                <w:sz w:val="18"/>
              </w:rPr>
              <w:t>-</w:t>
            </w:r>
          </w:p>
        </w:tc>
      </w:tr>
    </w:tbl>
    <w:p w14:paraId="7AEF1100" w14:textId="77777777" w:rsidR="007C3506" w:rsidRDefault="007C3506" w:rsidP="00D22620">
      <w:pPr>
        <w:spacing w:after="0"/>
        <w:jc w:val="both"/>
      </w:pPr>
    </w:p>
    <w:p w14:paraId="406C288F" w14:textId="57AFC08D" w:rsidR="007C3506" w:rsidRDefault="00000000" w:rsidP="00D22620">
      <w:pPr>
        <w:jc w:val="both"/>
      </w:pPr>
      <w:r>
        <w:t xml:space="preserve">Šifra 23- Obveze za rashode poslovanja u </w:t>
      </w:r>
      <w:r w:rsidR="00D22620">
        <w:t>iznosu</w:t>
      </w:r>
      <w:r>
        <w:t xml:space="preserve"> od 291.358,61 euro odnose se na obveze za plaću i materijalna prava </w:t>
      </w:r>
      <w:r w:rsidR="00D22620">
        <w:t>zaposlenika</w:t>
      </w:r>
      <w:r>
        <w:t xml:space="preserve"> te obveze za prema dobavljačima. </w:t>
      </w:r>
    </w:p>
    <w:p w14:paraId="105CBDA9" w14:textId="77777777" w:rsidR="007C3506" w:rsidRDefault="007C3506" w:rsidP="00D22620">
      <w:pPr>
        <w:jc w:val="both"/>
      </w:pPr>
    </w:p>
    <w:sectPr w:rsidR="007C3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506"/>
    <w:rsid w:val="00506109"/>
    <w:rsid w:val="007C3506"/>
    <w:rsid w:val="00D22620"/>
    <w:rsid w:val="00E8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A177"/>
  <w15:docId w15:val="{527DC8AD-79DF-4A61-A8D5-93D509F1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2409</Words>
  <Characters>13733</Characters>
  <Application>Microsoft Office Word</Application>
  <DocSecurity>0</DocSecurity>
  <Lines>114</Lines>
  <Paragraphs>32</Paragraphs>
  <ScaleCrop>false</ScaleCrop>
  <Company/>
  <LinksUpToDate>false</LinksUpToDate>
  <CharactersWithSpaces>16110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Maja Begić</cp:lastModifiedBy>
  <cp:revision>4</cp:revision>
  <cp:lastPrinted>2026-02-03T12:25:00Z</cp:lastPrinted>
  <dcterms:created xsi:type="dcterms:W3CDTF">2026-02-03T12:14:00Z</dcterms:created>
  <dcterms:modified xsi:type="dcterms:W3CDTF">2026-02-03T12:25:00Z</dcterms:modified>
</cp:coreProperties>
</file>